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FD8E" w14:textId="1CBE8547"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AC778A">
        <w:rPr>
          <w:rFonts w:ascii="Arial" w:eastAsia="Cambria" w:hAnsi="Arial" w:cs="Arial"/>
          <w:color w:val="FFFFFF"/>
          <w:lang w:val="en-GB"/>
        </w:rPr>
        <w:t>1</w:t>
      </w:r>
      <w:r w:rsidR="00651062">
        <w:rPr>
          <w:rFonts w:ascii="Arial" w:eastAsia="Cambria" w:hAnsi="Arial" w:cs="Arial"/>
          <w:color w:val="FFFFFF"/>
          <w:lang w:val="en-GB"/>
        </w:rPr>
        <w:t>6</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361C38">
        <w:rPr>
          <w:rFonts w:ascii="Arial" w:eastAsia="Cambria" w:hAnsi="Arial" w:cs="Arial"/>
          <w:color w:val="FFFFFF"/>
          <w:lang w:val="en-GB"/>
        </w:rPr>
        <w:t>October</w:t>
      </w:r>
      <w:r w:rsidRPr="006874F7">
        <w:rPr>
          <w:rFonts w:ascii="Arial" w:eastAsia="Cambria" w:hAnsi="Arial" w:cs="Arial"/>
          <w:color w:val="FFFFFF"/>
          <w:lang w:val="en-GB"/>
        </w:rPr>
        <w:t xml:space="preserve"> 2024</w:t>
      </w:r>
    </w:p>
    <w:p w14:paraId="5EF4FE96" w14:textId="6F0DC1F1"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651062">
        <w:rPr>
          <w:rFonts w:ascii="Arial" w:eastAsia="Cambria" w:hAnsi="Arial" w:cs="Arial"/>
          <w:sz w:val="28"/>
          <w:szCs w:val="24"/>
          <w:lang w:val="en-GB"/>
        </w:rPr>
        <w:instrText>HYPERLINK "https://charltonsquantum.com/quantum-updates-16-uae-new-vat-regulations/"</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23F1B71A" w14:textId="77777777" w:rsidR="00372AF8" w:rsidRPr="00372AF8" w:rsidRDefault="00372AF8" w:rsidP="00823F0C">
      <w:pPr>
        <w:rPr>
          <w:b/>
          <w:bCs/>
          <w:color w:val="FF6E00"/>
          <w:lang w:val="en-PH"/>
        </w:rPr>
      </w:pPr>
      <w:r w:rsidRPr="00372AF8">
        <w:rPr>
          <w:b/>
          <w:bCs/>
          <w:color w:val="FF6E00"/>
          <w:lang w:val="en-PH"/>
        </w:rPr>
        <w:t>UAE Introduces New VAT Regulations Affecting Virtual Assets: What Businesses Need to Know</w:t>
      </w:r>
    </w:p>
    <w:p w14:paraId="74182B50" w14:textId="77777777" w:rsidR="00372AF8" w:rsidRPr="00372AF8" w:rsidRDefault="00372AF8" w:rsidP="00372AF8">
      <w:pPr>
        <w:jc w:val="both"/>
        <w:rPr>
          <w:rFonts w:eastAsia="Times New Roman"/>
          <w:bCs/>
          <w:lang w:val="en-PH"/>
        </w:rPr>
      </w:pPr>
      <w:r w:rsidRPr="00372AF8">
        <w:rPr>
          <w:rFonts w:eastAsia="Times New Roman"/>
          <w:bCs/>
          <w:lang w:val="en-PH"/>
        </w:rPr>
        <w:t>On 6 September 2024, the UAE Cabinet issued Cabinet Decision No. 100 of 2024, significantly amending the </w:t>
      </w:r>
      <w:hyperlink r:id="rId6" w:tgtFrame="_blank" w:history="1">
        <w:r w:rsidRPr="00372AF8">
          <w:rPr>
            <w:rStyle w:val="Hyperlink"/>
            <w:rFonts w:eastAsia="Times New Roman"/>
            <w:bCs/>
            <w:color w:val="FF6E00"/>
            <w:u w:val="none"/>
            <w:lang w:val="en-PH"/>
          </w:rPr>
          <w:t>Federal Decree-Law No. 8 of 2017 on Value Added Tax</w:t>
        </w:r>
      </w:hyperlink>
      <w:r w:rsidRPr="00372AF8">
        <w:rPr>
          <w:rFonts w:eastAsia="Times New Roman"/>
          <w:bCs/>
          <w:lang w:val="en-PH"/>
        </w:rPr>
        <w:t>. This announcement introduced amendments specifically addressing the VAT treatment of virtual assets and other financial services. These changes are designed to clarify how businesses should approach the taxation of digital assets, such as cryptocurrencies, as the UAE continues to adapt its tax laws to the evolving digital economy. The new rules are scheduled to come into effect on 15 November 2024, and businesses involved with virtual assets must ensure they comply with these updated regulations to avoid penalties.</w:t>
      </w:r>
    </w:p>
    <w:p w14:paraId="5E428EB4" w14:textId="77777777" w:rsidR="00372AF8" w:rsidRPr="00372AF8" w:rsidRDefault="00372AF8" w:rsidP="00372AF8">
      <w:pPr>
        <w:jc w:val="both"/>
        <w:rPr>
          <w:rFonts w:eastAsia="Times New Roman"/>
          <w:bCs/>
          <w:lang w:val="en-PH"/>
        </w:rPr>
      </w:pPr>
      <w:r w:rsidRPr="00372AF8">
        <w:rPr>
          <w:rFonts w:eastAsia="Times New Roman"/>
          <w:bCs/>
          <w:lang w:val="en-PH"/>
        </w:rPr>
        <w:t>Under the previous VAT framework, the treatment of virtual assets, including cryptocurrencies and other digital tokens, was not clearly defined. This ambiguity led to varying interpretations and inconsistencies in VAT reporting for businesses dealing with virtual currencies. With the Cabinet Decision No. 100 of 2024, virtual assets are now officially included under the definition of financial services, and specific guidance is provided on when these assets and the related services are subject to VAT.</w:t>
      </w:r>
    </w:p>
    <w:p w14:paraId="3A6965EF" w14:textId="77777777" w:rsidR="00372AF8" w:rsidRPr="00372AF8" w:rsidRDefault="00372AF8" w:rsidP="00372AF8">
      <w:pPr>
        <w:jc w:val="both"/>
        <w:rPr>
          <w:rFonts w:eastAsia="Times New Roman"/>
          <w:bCs/>
          <w:lang w:val="en-PH"/>
        </w:rPr>
      </w:pPr>
      <w:r w:rsidRPr="00372AF8">
        <w:rPr>
          <w:rFonts w:eastAsia="Times New Roman"/>
          <w:bCs/>
          <w:lang w:val="en-PH"/>
        </w:rPr>
        <w:t xml:space="preserve">The new regulations provide </w:t>
      </w:r>
      <w:proofErr w:type="gramStart"/>
      <w:r w:rsidRPr="00372AF8">
        <w:rPr>
          <w:rFonts w:eastAsia="Times New Roman"/>
          <w:bCs/>
          <w:lang w:val="en-PH"/>
        </w:rPr>
        <w:t>that virtual assets</w:t>
      </w:r>
      <w:proofErr w:type="gramEnd"/>
      <w:r w:rsidRPr="00372AF8">
        <w:rPr>
          <w:rFonts w:eastAsia="Times New Roman"/>
          <w:bCs/>
          <w:lang w:val="en-PH"/>
        </w:rPr>
        <w:t>, defined as digital representations of value that can be traded or used for investment purposes, will be treated similarly to traditional financial products like stocks or bonds in terms of VAT. This change applies to services like the conversion, management, and transfer of virtual assets, which will now be taxable if conducted for an explicit fee, commission, or other financial consideration. On the other hand, if these services are offered without a direct fee or commission, they will remain VAT exempt, aligning with the treatment of traditional financial services.</w:t>
      </w:r>
    </w:p>
    <w:p w14:paraId="787853CB" w14:textId="77777777" w:rsidR="00372AF8" w:rsidRPr="00372AF8" w:rsidRDefault="00372AF8" w:rsidP="00372AF8">
      <w:pPr>
        <w:jc w:val="both"/>
        <w:rPr>
          <w:rFonts w:eastAsia="Times New Roman"/>
          <w:bCs/>
          <w:lang w:val="en-PH"/>
        </w:rPr>
      </w:pPr>
      <w:r w:rsidRPr="00372AF8">
        <w:rPr>
          <w:rFonts w:eastAsia="Times New Roman"/>
          <w:bCs/>
          <w:lang w:val="en-PH"/>
        </w:rPr>
        <w:t>Those companies that handle virtual assets, including cryptocurrency exchanges, wallet providers, and businesses using virtual assets as part of their operational models must adhere to these amendments to ensure compliance. Services related to virtual assets, such as conversion, management, and transfer, will now be taxable at 5% VAT if they involve explicit fees, commissions, or rebates. However, services provided without direct fees, like custody or management of virtual assets, will remain VAT-exempt. They will be required to charge VAT on services related to virtual assets where an explicit fee or commission is charged. This could lead to an increase in taxable income for businesses providing such services, as they now need to apply the standard VAT rate to these transactions.</w:t>
      </w:r>
    </w:p>
    <w:p w14:paraId="3B338802" w14:textId="77777777" w:rsidR="00372AF8" w:rsidRPr="00372AF8" w:rsidRDefault="00372AF8" w:rsidP="00372AF8">
      <w:pPr>
        <w:jc w:val="both"/>
        <w:rPr>
          <w:rFonts w:eastAsia="Times New Roman"/>
          <w:bCs/>
          <w:lang w:val="en-PH"/>
        </w:rPr>
      </w:pPr>
      <w:r w:rsidRPr="00372AF8">
        <w:rPr>
          <w:rFonts w:eastAsia="Times New Roman"/>
          <w:bCs/>
          <w:lang w:val="en-PH"/>
        </w:rPr>
        <w:t>When an exchange charges a commission for converting one cryptocurrency to another, these services will now attract VAT. Companies must ensure that they are prepared for this by updating their accounting systems and pricing models to reflect the VAT that must be collected on such transactions.</w:t>
      </w:r>
    </w:p>
    <w:p w14:paraId="42F598E8" w14:textId="77777777" w:rsidR="00372AF8" w:rsidRPr="00372AF8" w:rsidRDefault="00372AF8" w:rsidP="00372AF8">
      <w:pPr>
        <w:jc w:val="both"/>
        <w:rPr>
          <w:rFonts w:eastAsia="Times New Roman"/>
          <w:bCs/>
          <w:lang w:val="en-PH"/>
        </w:rPr>
      </w:pPr>
      <w:r w:rsidRPr="00372AF8">
        <w:rPr>
          <w:rFonts w:eastAsia="Times New Roman"/>
          <w:bCs/>
          <w:lang w:val="en-PH"/>
        </w:rPr>
        <w:t xml:space="preserve">While the standard VAT rate of 5% remains unchanged, the significant difference lies in the scope of application for businesses dealing with virtual assets. Services that were previously not clearly subject to VAT, such as the transfer and conversion of virtual assets, will now attract the 5% VAT rate when conducted for explicit fees. Businesses must consider the impact on capital assets involving virtual assets. The amendments introduce rules for making VAT adjustments on capital assets, including virtual assets. For instance, if virtual assets form part of a company’s capital, any changes in their taxable use will require </w:t>
      </w:r>
      <w:r w:rsidRPr="00372AF8">
        <w:rPr>
          <w:rFonts w:eastAsia="Times New Roman"/>
          <w:bCs/>
          <w:lang w:val="en-PH"/>
        </w:rPr>
        <w:lastRenderedPageBreak/>
        <w:t>an annual VAT adjustment. For buildings and real estate, this adjustment is spread over 10 years, while for other capital assets, such as virtual assets, the adjustment period is 5 years.</w:t>
      </w:r>
    </w:p>
    <w:p w14:paraId="62F7D080" w14:textId="77777777" w:rsidR="00372AF8" w:rsidRPr="00372AF8" w:rsidRDefault="00372AF8" w:rsidP="00372AF8">
      <w:pPr>
        <w:jc w:val="both"/>
        <w:rPr>
          <w:rFonts w:eastAsia="Times New Roman"/>
          <w:bCs/>
          <w:lang w:val="en-PH"/>
        </w:rPr>
      </w:pPr>
      <w:r w:rsidRPr="00372AF8">
        <w:rPr>
          <w:rFonts w:eastAsia="Times New Roman"/>
          <w:bCs/>
          <w:lang w:val="en-PH"/>
        </w:rPr>
        <w:t>There is no specific percentage increase or decrease in the VAT rate itself; however, the expansion of taxable services and annual adjustments on capital assets may result in a noticeable financial impact for companies heavily involved in virtual asset transactions. The need to adjust for VAT on capital assets means that companies will have to account for potential increases in VAT liability if their asset usage shifts toward taxable activities.</w:t>
      </w:r>
    </w:p>
    <w:p w14:paraId="58069EA2" w14:textId="77777777" w:rsidR="00372AF8" w:rsidRPr="00372AF8" w:rsidRDefault="00372AF8" w:rsidP="00372AF8">
      <w:pPr>
        <w:jc w:val="both"/>
        <w:rPr>
          <w:rFonts w:eastAsia="Times New Roman"/>
          <w:bCs/>
          <w:lang w:val="en-PH"/>
        </w:rPr>
      </w:pPr>
      <w:r w:rsidRPr="00372AF8">
        <w:rPr>
          <w:rFonts w:eastAsia="Times New Roman"/>
          <w:bCs/>
          <w:lang w:val="en-PH"/>
        </w:rPr>
        <w:t>The changes introduced by Cabinet Decision No. 100 of 2024 will come into effect on 15 November 2024, with just a month to prepare to implement these new amendments. Companies dealing with virtual assets to ensure that they have updated their tax compliance procedures will be revising their invoicing systems to accurately charge VAT on all taxable services related to virtual assets.</w:t>
      </w:r>
    </w:p>
    <w:p w14:paraId="1100886B" w14:textId="77777777" w:rsidR="00372AF8" w:rsidRPr="00372AF8" w:rsidRDefault="00372AF8" w:rsidP="00372AF8">
      <w:pPr>
        <w:jc w:val="both"/>
        <w:rPr>
          <w:rFonts w:eastAsia="Times New Roman"/>
          <w:bCs/>
          <w:lang w:val="en-PH"/>
        </w:rPr>
      </w:pPr>
      <w:r w:rsidRPr="00372AF8">
        <w:rPr>
          <w:rFonts w:eastAsia="Times New Roman"/>
          <w:bCs/>
          <w:lang w:val="en-PH"/>
        </w:rPr>
        <w:t>Businesses need to ensure they have systems in place to differentiate between services that are taxable and those that are exempt. For instance, services that do not involve an explicit fee, such as providing custody of virtual assets without direct compensation, will remain exempt from VAT. On the other hand, services such as trading or managing virtual assets for a commission will be subject to VAT, and businesses need to apply this distinction in their VAT reporting.</w:t>
      </w:r>
    </w:p>
    <w:p w14:paraId="5C7E22FF" w14:textId="77777777" w:rsidR="00372AF8" w:rsidRPr="00372AF8" w:rsidRDefault="00372AF8" w:rsidP="00372AF8">
      <w:pPr>
        <w:jc w:val="both"/>
        <w:rPr>
          <w:rFonts w:eastAsia="Times New Roman"/>
          <w:bCs/>
          <w:lang w:val="en-PH"/>
        </w:rPr>
      </w:pPr>
      <w:r w:rsidRPr="00372AF8">
        <w:rPr>
          <w:rFonts w:eastAsia="Times New Roman"/>
          <w:bCs/>
          <w:lang w:val="en-PH"/>
        </w:rPr>
        <w:t>The introduction of Cabinet Decision No. 100 of 2024 has brought virtual assets into the same regulatory framework as traditional financial services and the UAE government has clarified the tax obligations for companies dealing with these digital assets, particularly for businesses that charge fees for converting, managing, or transferring virtual assets, as these services will now be subject to VAT. Virtual asset-related services are taxable under the new UAE VAT rules if they involve explicit fees, commissions, or discounts. Services offered without direct financial compensation remain VAT-exempt.</w:t>
      </w:r>
    </w:p>
    <w:p w14:paraId="6E117E54" w14:textId="77777777" w:rsidR="00372AF8" w:rsidRPr="00372AF8" w:rsidRDefault="00372AF8" w:rsidP="00372AF8">
      <w:pPr>
        <w:jc w:val="both"/>
        <w:rPr>
          <w:rFonts w:eastAsia="Times New Roman"/>
          <w:bCs/>
          <w:lang w:val="en-PH"/>
        </w:rPr>
      </w:pPr>
      <w:r w:rsidRPr="00372AF8">
        <w:rPr>
          <w:rFonts w:eastAsia="Times New Roman"/>
          <w:bCs/>
          <w:lang w:val="en-PH"/>
        </w:rPr>
        <w:t>In the run-up to 15 November 2024, businesses must take the necessary steps to review their current service offerings and ensure that VAT is correctly applied to taxable transactions, and adjusting their internal accounting systems to reflect these changes. Companies should clearly understand how the new VAT adjustments on capital assets, including virtual assets, will affect their overall tax liabilities.</w:t>
      </w:r>
    </w:p>
    <w:p w14:paraId="302859B9" w14:textId="77777777" w:rsidR="00372AF8" w:rsidRPr="00372AF8" w:rsidRDefault="00372AF8" w:rsidP="00823F0C">
      <w:pPr>
        <w:rPr>
          <w:rFonts w:eastAsia="Times New Roman"/>
          <w:bCs/>
          <w:lang w:val="en-PH"/>
        </w:rPr>
      </w:pPr>
      <w:r w:rsidRPr="00372AF8">
        <w:rPr>
          <w:rFonts w:eastAsia="Times New Roman"/>
          <w:bCs/>
          <w:lang w:val="en-PH"/>
        </w:rPr>
        <w:t>(Source: </w:t>
      </w:r>
      <w:hyperlink r:id="rId7" w:tgtFrame="_blank" w:history="1">
        <w:r w:rsidRPr="00372AF8">
          <w:rPr>
            <w:rStyle w:val="Hyperlink"/>
            <w:rFonts w:eastAsia="Times New Roman"/>
            <w:bCs/>
            <w:color w:val="FF6E00"/>
            <w:lang w:val="en-PH"/>
          </w:rPr>
          <w:t>https://tax.gov.ae//Datafolder/Files/Legislation/Executive%20Regulation%20of%20Federal%20Decree%20Law%20No%208%20of%202017%20-%20Publish%20-%2004%2010%202024.pdf</w:t>
        </w:r>
      </w:hyperlink>
      <w:r w:rsidRPr="00372AF8">
        <w:rPr>
          <w:rFonts w:eastAsia="Times New Roman"/>
          <w:bCs/>
          <w:lang w:val="en-PH"/>
        </w:rPr>
        <w:t>)</w:t>
      </w:r>
    </w:p>
    <w:p w14:paraId="1137DCA9" w14:textId="4399888C" w:rsidR="00AD2903" w:rsidRPr="00AD2903" w:rsidRDefault="00AD2903" w:rsidP="00823F0C">
      <w:pPr>
        <w:rPr>
          <w:rFonts w:eastAsia="Times New Roman"/>
          <w:bCs/>
          <w:lang w:val="en-PH"/>
        </w:rPr>
      </w:pPr>
    </w:p>
    <w:p w14:paraId="27424826" w14:textId="77777777" w:rsidR="007F0E26" w:rsidRDefault="007F0E26" w:rsidP="00823F0C">
      <w:pPr>
        <w:rPr>
          <w:rFonts w:eastAsia="Times New Roman"/>
          <w:bCs/>
        </w:rPr>
      </w:pPr>
    </w:p>
    <w:p w14:paraId="0CAFB287" w14:textId="77777777" w:rsidR="00372AF8" w:rsidRPr="00372AF8" w:rsidRDefault="00372AF8" w:rsidP="00823F0C">
      <w:pPr>
        <w:rPr>
          <w:b/>
          <w:bCs/>
          <w:color w:val="FF6E00"/>
          <w:lang w:val="en-PH"/>
        </w:rPr>
      </w:pPr>
      <w:r w:rsidRPr="00372AF8">
        <w:rPr>
          <w:b/>
          <w:bCs/>
          <w:color w:val="FF6E00"/>
          <w:lang w:val="en-PH"/>
        </w:rPr>
        <w:t>South Korean FSC Announces Establishment of Digital Asset Protection Foundation to Secure Safe Return of Funds Amid VASP Closures</w:t>
      </w:r>
    </w:p>
    <w:p w14:paraId="0FF11741" w14:textId="77777777" w:rsidR="00372AF8" w:rsidRPr="00372AF8" w:rsidRDefault="00372AF8" w:rsidP="00372AF8">
      <w:pPr>
        <w:jc w:val="both"/>
        <w:rPr>
          <w:rFonts w:eastAsia="Times New Roman"/>
          <w:bCs/>
          <w:lang w:val="en-PH"/>
        </w:rPr>
      </w:pPr>
      <w:r w:rsidRPr="00372AF8">
        <w:rPr>
          <w:rFonts w:eastAsia="Times New Roman"/>
          <w:bCs/>
          <w:lang w:val="en-PH"/>
        </w:rPr>
        <w:t>On 25 September 2024, the South Korean Financial Services Commission (</w:t>
      </w:r>
      <w:r w:rsidRPr="00372AF8">
        <w:rPr>
          <w:rFonts w:eastAsia="Times New Roman"/>
          <w:b/>
          <w:bCs/>
          <w:lang w:val="en-PH"/>
        </w:rPr>
        <w:t>SK FSC</w:t>
      </w:r>
      <w:r w:rsidRPr="00372AF8">
        <w:rPr>
          <w:rFonts w:eastAsia="Times New Roman"/>
          <w:bCs/>
          <w:lang w:val="en-PH"/>
        </w:rPr>
        <w:t>) announced its authorization of the digital asset industry’s plan to create the Digital Asset Protection Foundation, an entity aimed at safeguarding users’ assets in the event of virtual asset service providers shutting down. This initiative, led by the Digital Asset Exchange Association (</w:t>
      </w:r>
      <w:r w:rsidRPr="00372AF8">
        <w:rPr>
          <w:rFonts w:eastAsia="Times New Roman"/>
          <w:b/>
          <w:bCs/>
          <w:lang w:val="en-PH"/>
        </w:rPr>
        <w:t>DAXA</w:t>
      </w:r>
      <w:r w:rsidRPr="00372AF8">
        <w:rPr>
          <w:rFonts w:eastAsia="Times New Roman"/>
          <w:bCs/>
          <w:lang w:val="en-PH"/>
        </w:rPr>
        <w:t>) aims to move toward protecting virtual asset users’ rights and maintaining stability in the market. The foundation will be responsible for receiving, managing, and securely returning users’ assets that were previously held by defunct exchange service providers after a structured consultation process.</w:t>
      </w:r>
    </w:p>
    <w:p w14:paraId="2F15D3E2" w14:textId="77777777" w:rsidR="00372AF8" w:rsidRPr="00372AF8" w:rsidRDefault="00372AF8" w:rsidP="00372AF8">
      <w:pPr>
        <w:jc w:val="both"/>
        <w:rPr>
          <w:rFonts w:eastAsia="Times New Roman"/>
          <w:bCs/>
          <w:lang w:val="en-PH"/>
        </w:rPr>
      </w:pPr>
      <w:r w:rsidRPr="00372AF8">
        <w:rPr>
          <w:rFonts w:eastAsia="Times New Roman"/>
          <w:bCs/>
          <w:lang w:val="en-PH"/>
        </w:rPr>
        <w:lastRenderedPageBreak/>
        <w:t xml:space="preserve">The establishment of this foundation comes in response to growing concerns about the ability of VASPs to return users’ assets following business closures. Despite previous efforts by financial authorities, such as issuing guidelines for VASP closures and conducting inspections on closed exchanges, the lengthy and complex process of returning assets continues to create uncertainty for users. With </w:t>
      </w:r>
      <w:proofErr w:type="gramStart"/>
      <w:r w:rsidRPr="00372AF8">
        <w:rPr>
          <w:rFonts w:eastAsia="Times New Roman"/>
          <w:bCs/>
          <w:lang w:val="en-PH"/>
        </w:rPr>
        <w:t>ten out of twenty-two coin</w:t>
      </w:r>
      <w:proofErr w:type="gramEnd"/>
      <w:r w:rsidRPr="00372AF8">
        <w:rPr>
          <w:rFonts w:eastAsia="Times New Roman"/>
          <w:bCs/>
          <w:lang w:val="en-PH"/>
        </w:rPr>
        <w:t xml:space="preserve"> market exchange operators already out of business and three more having suspended operations, it has become clear that without a structured system in place, resuming business or recovering users’ assets is highly unlikely for these operators.</w:t>
      </w:r>
    </w:p>
    <w:p w14:paraId="736E5293" w14:textId="77777777" w:rsidR="00372AF8" w:rsidRPr="00372AF8" w:rsidRDefault="00372AF8" w:rsidP="00372AF8">
      <w:pPr>
        <w:jc w:val="both"/>
        <w:rPr>
          <w:rFonts w:eastAsia="Times New Roman"/>
          <w:bCs/>
          <w:lang w:val="en-PH"/>
        </w:rPr>
      </w:pPr>
      <w:r w:rsidRPr="00372AF8">
        <w:rPr>
          <w:rFonts w:eastAsia="Times New Roman"/>
          <w:bCs/>
          <w:lang w:val="en-PH"/>
        </w:rPr>
        <w:t>The challenge is further complicated by the fact that many closed VASPs hold private keys to users’ wallets, increasing the risk of asset loss or mismanagement. Recognizing the need for a more systematic and secure method for managing these assets, authorities emphasised the importance of creating a dedicated foundation to handle this task. The foundation, as a nonprofit entity, will step in where these VASPs can no longer operate, ensuring users’ funds are securely managed and eventually returned.</w:t>
      </w:r>
    </w:p>
    <w:p w14:paraId="6A62CA8F" w14:textId="77777777" w:rsidR="00372AF8" w:rsidRPr="00372AF8" w:rsidRDefault="00372AF8" w:rsidP="00372AF8">
      <w:pPr>
        <w:jc w:val="both"/>
        <w:rPr>
          <w:rFonts w:eastAsia="Times New Roman"/>
          <w:bCs/>
          <w:lang w:val="en-PH"/>
        </w:rPr>
      </w:pPr>
      <w:r w:rsidRPr="00372AF8">
        <w:rPr>
          <w:rFonts w:eastAsia="Times New Roman"/>
          <w:bCs/>
          <w:lang w:val="en-PH"/>
        </w:rPr>
        <w:t>DAXA has been instrumental in the development of this initiative, working under the FSC’s guidance to build a solution that aligns with the industry’s self-regulatory efforts. Once established, the foundation will engage in consultation with each exchange service provider to transfer users’ funds and digital assets under its care. In the interest of efficiency and security, users’ cash deposits will be stored in banks, while a designated KRW-based exchange service provider will manage their digital assets. This structure is designed to ensure a safe and transparent process, giving users confidence in the protection of their funds.</w:t>
      </w:r>
    </w:p>
    <w:p w14:paraId="6B01C536" w14:textId="77777777" w:rsidR="00372AF8" w:rsidRPr="00372AF8" w:rsidRDefault="00372AF8" w:rsidP="00372AF8">
      <w:pPr>
        <w:jc w:val="both"/>
        <w:rPr>
          <w:rFonts w:eastAsia="Times New Roman"/>
          <w:bCs/>
          <w:lang w:val="en-PH"/>
        </w:rPr>
      </w:pPr>
      <w:r w:rsidRPr="00372AF8">
        <w:rPr>
          <w:rFonts w:eastAsia="Times New Roman"/>
          <w:bCs/>
          <w:lang w:val="en-PH"/>
        </w:rPr>
        <w:t>To further enhance the foundation’s effectiveness, an operating committee will be formed, comprising representatives from the bank, the KRW-based exchange service provider, Korea Inclusive Finance Agency, Financial Security Institute, and private sector experts. This committee will oversee critical issues related to asset protection and ensure compliance with the Virtual Asset User Protection Act, as well as the established guidelines for VASP business closures.</w:t>
      </w:r>
    </w:p>
    <w:p w14:paraId="3DF78CB9" w14:textId="77777777" w:rsidR="00372AF8" w:rsidRPr="00372AF8" w:rsidRDefault="00372AF8" w:rsidP="00372AF8">
      <w:pPr>
        <w:jc w:val="both"/>
        <w:rPr>
          <w:rFonts w:eastAsia="Times New Roman"/>
          <w:bCs/>
          <w:lang w:val="en-PH"/>
        </w:rPr>
      </w:pPr>
      <w:r w:rsidRPr="00372AF8">
        <w:rPr>
          <w:rFonts w:eastAsia="Times New Roman"/>
          <w:bCs/>
          <w:lang w:val="en-PH"/>
        </w:rPr>
        <w:t>Financial authorities will also play an active role in supporting the foundation’s operations, facilitating smooth communication and asset transfer processes between the foundation and the closed VASPs. Additionally, for VASPs that are expected to terminate operations following a renewal of registration under the Act on Reporting and Using Specified Financial Transaction Information, authorities will guide them in transferring their customers’ assets to the foundation.</w:t>
      </w:r>
    </w:p>
    <w:p w14:paraId="5CDE6275" w14:textId="77777777" w:rsidR="00372AF8" w:rsidRPr="00372AF8" w:rsidRDefault="00372AF8" w:rsidP="00372AF8">
      <w:pPr>
        <w:jc w:val="both"/>
        <w:rPr>
          <w:rFonts w:eastAsia="Times New Roman"/>
          <w:bCs/>
          <w:lang w:val="en-PH"/>
        </w:rPr>
      </w:pPr>
      <w:r w:rsidRPr="00372AF8">
        <w:rPr>
          <w:rFonts w:eastAsia="Times New Roman"/>
          <w:bCs/>
          <w:lang w:val="en-PH"/>
        </w:rPr>
        <w:t>Following FSC approval, the foundation will be officially established upon the completion of court registration, with operations expected to commence as early as October 2024. The foundation will immediately begin consultations with closed VASPs regarding asset transfers, providing users with a reliable mechanism for recovering their funds. The establishment of this foundation is seen as a critical move in protecting users’ assets and promoting greater order in the virtual asset market. By minimising the disruption caused by VASP closures, it will also help maintain user confidence and prevent potential market instability.</w:t>
      </w:r>
    </w:p>
    <w:p w14:paraId="5A7406C2" w14:textId="77777777" w:rsidR="00372AF8" w:rsidRPr="00372AF8" w:rsidRDefault="00372AF8" w:rsidP="00823F0C">
      <w:pPr>
        <w:rPr>
          <w:rFonts w:eastAsia="Times New Roman"/>
          <w:bCs/>
          <w:lang w:val="en-PH"/>
        </w:rPr>
      </w:pPr>
      <w:r w:rsidRPr="00372AF8">
        <w:rPr>
          <w:rFonts w:eastAsia="Times New Roman"/>
          <w:bCs/>
          <w:lang w:val="en-PH"/>
        </w:rPr>
        <w:t>(Source: </w:t>
      </w:r>
      <w:hyperlink r:id="rId8" w:tgtFrame="_blank" w:history="1">
        <w:r w:rsidRPr="00372AF8">
          <w:rPr>
            <w:rStyle w:val="Hyperlink"/>
            <w:rFonts w:eastAsia="Times New Roman"/>
            <w:bCs/>
            <w:color w:val="FF6E00"/>
            <w:lang w:val="en-PH"/>
          </w:rPr>
          <w:t>https://www.fsc.go.kr/eng/pr010101/83126?srchCtgry=&amp;curPage=&amp;srchKey=&amp;srchText=&amp;srchBeginDt=&amp;srchEndDt=</w:t>
        </w:r>
      </w:hyperlink>
      <w:r w:rsidRPr="00372AF8">
        <w:rPr>
          <w:rFonts w:eastAsia="Times New Roman"/>
          <w:bCs/>
          <w:lang w:val="en-PH"/>
        </w:rPr>
        <w:t>)</w:t>
      </w:r>
    </w:p>
    <w:p w14:paraId="07D43AE9" w14:textId="77777777" w:rsidR="00372AF8" w:rsidRDefault="00372AF8" w:rsidP="00823F0C">
      <w:pPr>
        <w:rPr>
          <w:rFonts w:eastAsia="Times New Roman"/>
          <w:bCs/>
        </w:rPr>
      </w:pPr>
    </w:p>
    <w:p w14:paraId="0EA7D910" w14:textId="77777777" w:rsidR="00372AF8" w:rsidRPr="00372AF8" w:rsidRDefault="00372AF8" w:rsidP="00823F0C">
      <w:pPr>
        <w:rPr>
          <w:b/>
          <w:bCs/>
          <w:color w:val="FF6E00"/>
          <w:lang w:val="en-PH"/>
        </w:rPr>
      </w:pPr>
      <w:r w:rsidRPr="00372AF8">
        <w:rPr>
          <w:b/>
          <w:bCs/>
          <w:color w:val="FF6E00"/>
          <w:lang w:val="en-PH"/>
        </w:rPr>
        <w:t>HKVAX Secures Regulatory Licenses, Strengthening Its Position as a Leading Virtual Asset Platform in Hong Kong</w:t>
      </w:r>
    </w:p>
    <w:p w14:paraId="43E6C128" w14:textId="77777777" w:rsidR="00372AF8" w:rsidRPr="00372AF8" w:rsidRDefault="00372AF8" w:rsidP="00372AF8">
      <w:pPr>
        <w:jc w:val="both"/>
        <w:rPr>
          <w:rFonts w:eastAsia="Times New Roman"/>
          <w:bCs/>
          <w:lang w:val="en-PH"/>
        </w:rPr>
      </w:pPr>
      <w:r w:rsidRPr="00372AF8">
        <w:rPr>
          <w:rFonts w:eastAsia="Times New Roman"/>
          <w:bCs/>
          <w:lang w:val="en-PH"/>
        </w:rPr>
        <w:lastRenderedPageBreak/>
        <w:t>On 2 October 2024, Hong Kong Virtual Asset Exchange (</w:t>
      </w:r>
      <w:r w:rsidRPr="00372AF8">
        <w:rPr>
          <w:rFonts w:eastAsia="Times New Roman"/>
          <w:b/>
          <w:bCs/>
          <w:lang w:val="en-PH"/>
        </w:rPr>
        <w:t>HKVAX</w:t>
      </w:r>
      <w:r w:rsidRPr="00372AF8">
        <w:rPr>
          <w:rFonts w:eastAsia="Times New Roman"/>
          <w:bCs/>
          <w:lang w:val="en-PH"/>
        </w:rPr>
        <w:t>) officially announced that it had obtained Type 1 (dealing in securities) and Type 7 (providing automated trading services) licenses from the Hong Kong’s Securities and Futures Commission (</w:t>
      </w:r>
      <w:r w:rsidRPr="00372AF8">
        <w:rPr>
          <w:rFonts w:eastAsia="Times New Roman"/>
          <w:b/>
          <w:bCs/>
          <w:lang w:val="en-PH"/>
        </w:rPr>
        <w:t>HK SFC</w:t>
      </w:r>
      <w:r w:rsidRPr="00372AF8">
        <w:rPr>
          <w:rFonts w:eastAsia="Times New Roman"/>
          <w:bCs/>
          <w:lang w:val="en-PH"/>
        </w:rPr>
        <w:t>), along with a license under the Hong Kong’s Anti-Money Laundering and Counter-Terrorist Financing Ordinance (</w:t>
      </w:r>
      <w:r w:rsidRPr="00372AF8">
        <w:rPr>
          <w:rFonts w:eastAsia="Times New Roman"/>
          <w:b/>
          <w:bCs/>
          <w:lang w:val="en-PH"/>
        </w:rPr>
        <w:t>AMLO</w:t>
      </w:r>
      <w:r w:rsidRPr="00372AF8">
        <w:rPr>
          <w:rFonts w:eastAsia="Times New Roman"/>
          <w:bCs/>
          <w:lang w:val="en-PH"/>
        </w:rPr>
        <w:t>). This development makes HKVAX the third regulated virtual asset platform in Hong Kong, joining the ranks of HashKey Group and OSL, which are currently the only operators permitted to serve retail customers in the territory.</w:t>
      </w:r>
    </w:p>
    <w:p w14:paraId="068CE4AA" w14:textId="77777777" w:rsidR="00372AF8" w:rsidRPr="00372AF8" w:rsidRDefault="00372AF8" w:rsidP="00372AF8">
      <w:pPr>
        <w:jc w:val="both"/>
        <w:rPr>
          <w:rFonts w:eastAsia="Times New Roman"/>
          <w:bCs/>
          <w:lang w:val="en-PH"/>
        </w:rPr>
      </w:pPr>
      <w:r w:rsidRPr="00372AF8">
        <w:rPr>
          <w:rFonts w:eastAsia="Times New Roman"/>
          <w:bCs/>
          <w:lang w:val="en-PH"/>
        </w:rPr>
        <w:t xml:space="preserve">HKVAX was established with a strong focus on combining traditional financial services with blockchain technology, providing a wide array of virtual asset services. These include </w:t>
      </w:r>
      <w:proofErr w:type="gramStart"/>
      <w:r w:rsidRPr="00372AF8">
        <w:rPr>
          <w:rFonts w:eastAsia="Times New Roman"/>
          <w:bCs/>
          <w:lang w:val="en-PH"/>
        </w:rPr>
        <w:t>over-the-counter</w:t>
      </w:r>
      <w:proofErr w:type="gramEnd"/>
      <w:r w:rsidRPr="00372AF8">
        <w:rPr>
          <w:rFonts w:eastAsia="Times New Roman"/>
          <w:bCs/>
          <w:lang w:val="en-PH"/>
        </w:rPr>
        <w:t xml:space="preserve"> (</w:t>
      </w:r>
      <w:r w:rsidRPr="00372AF8">
        <w:rPr>
          <w:rFonts w:eastAsia="Times New Roman"/>
          <w:b/>
          <w:bCs/>
          <w:lang w:val="en-PH"/>
        </w:rPr>
        <w:t>OTC</w:t>
      </w:r>
      <w:r w:rsidRPr="00372AF8">
        <w:rPr>
          <w:rFonts w:eastAsia="Times New Roman"/>
          <w:bCs/>
          <w:lang w:val="en-PH"/>
        </w:rPr>
        <w:t>) trading, a 24/7 trading platform, and asset custody with advanced security features such as multi-signature technology and wallet separation. The platform has a particular emphasis on Security Token Offerings (</w:t>
      </w:r>
      <w:r w:rsidRPr="00372AF8">
        <w:rPr>
          <w:rFonts w:eastAsia="Times New Roman"/>
          <w:b/>
          <w:bCs/>
          <w:lang w:val="en-PH"/>
        </w:rPr>
        <w:t>STOs</w:t>
      </w:r>
      <w:r w:rsidRPr="00372AF8">
        <w:rPr>
          <w:rFonts w:eastAsia="Times New Roman"/>
          <w:bCs/>
          <w:lang w:val="en-PH"/>
        </w:rPr>
        <w:t>) and Real-World Asset (</w:t>
      </w:r>
      <w:r w:rsidRPr="00372AF8">
        <w:rPr>
          <w:rFonts w:eastAsia="Times New Roman"/>
          <w:b/>
          <w:bCs/>
          <w:lang w:val="en-PH"/>
        </w:rPr>
        <w:t>RWA</w:t>
      </w:r>
      <w:r w:rsidRPr="00372AF8">
        <w:rPr>
          <w:rFonts w:eastAsia="Times New Roman"/>
          <w:bCs/>
          <w:lang w:val="en-PH"/>
        </w:rPr>
        <w:t xml:space="preserve">) tokenization, which aim to enhance asset liquidity and create new opportunities for professional </w:t>
      </w:r>
      <w:proofErr w:type="gramStart"/>
      <w:r w:rsidRPr="00372AF8">
        <w:rPr>
          <w:rFonts w:eastAsia="Times New Roman"/>
          <w:bCs/>
          <w:lang w:val="en-PH"/>
        </w:rPr>
        <w:t>investors.The</w:t>
      </w:r>
      <w:proofErr w:type="gramEnd"/>
      <w:r w:rsidRPr="00372AF8">
        <w:rPr>
          <w:rFonts w:eastAsia="Times New Roman"/>
          <w:bCs/>
          <w:lang w:val="en-PH"/>
        </w:rPr>
        <w:t xml:space="preserve"> newly obtained licenses will enable HKVAX to further integrate these offerings into a virtual asset ecosystem, which will support its expansion.</w:t>
      </w:r>
    </w:p>
    <w:p w14:paraId="662D0C05" w14:textId="77777777" w:rsidR="00372AF8" w:rsidRPr="00372AF8" w:rsidRDefault="00372AF8" w:rsidP="00372AF8">
      <w:pPr>
        <w:jc w:val="both"/>
        <w:rPr>
          <w:rFonts w:eastAsia="Times New Roman"/>
          <w:bCs/>
          <w:lang w:val="en-PH"/>
        </w:rPr>
      </w:pPr>
      <w:r w:rsidRPr="00372AF8">
        <w:rPr>
          <w:rFonts w:eastAsia="Times New Roman"/>
          <w:bCs/>
          <w:lang w:val="en-PH"/>
        </w:rPr>
        <w:t>With the acquisition of these licenses, HKVAX has solidified its position in the regulated virtual asset market in Hong Kong. The Type 1 license enables the platform to deal in securities, while the Type 7 license allows it to provide automated trading services, both of which are governed by the Hong Kong’s Securities and Futures Ordinance (</w:t>
      </w:r>
      <w:r w:rsidRPr="00372AF8">
        <w:rPr>
          <w:rFonts w:eastAsia="Times New Roman"/>
          <w:b/>
          <w:bCs/>
          <w:lang w:val="en-PH"/>
        </w:rPr>
        <w:t>SFO</w:t>
      </w:r>
      <w:r w:rsidRPr="00372AF8">
        <w:rPr>
          <w:rFonts w:eastAsia="Times New Roman"/>
          <w:bCs/>
          <w:lang w:val="en-PH"/>
        </w:rPr>
        <w:t>). Hong Kong’s AMLO license ensures that the platform adheres to anti-money laundering (</w:t>
      </w:r>
      <w:r w:rsidRPr="00372AF8">
        <w:rPr>
          <w:rFonts w:eastAsia="Times New Roman"/>
          <w:b/>
          <w:bCs/>
          <w:lang w:val="en-PH"/>
        </w:rPr>
        <w:t>AML</w:t>
      </w:r>
      <w:r w:rsidRPr="00372AF8">
        <w:rPr>
          <w:rFonts w:eastAsia="Times New Roman"/>
          <w:bCs/>
          <w:lang w:val="en-PH"/>
        </w:rPr>
        <w:t>) and counter-terrorist financing (</w:t>
      </w:r>
      <w:r w:rsidRPr="00372AF8">
        <w:rPr>
          <w:rFonts w:eastAsia="Times New Roman"/>
          <w:b/>
          <w:bCs/>
          <w:lang w:val="en-PH"/>
        </w:rPr>
        <w:t>CTF</w:t>
      </w:r>
      <w:r w:rsidRPr="00372AF8">
        <w:rPr>
          <w:rFonts w:eastAsia="Times New Roman"/>
          <w:bCs/>
          <w:lang w:val="en-PH"/>
        </w:rPr>
        <w:t>) standards and HKVAX will implement Know Your Customer (</w:t>
      </w:r>
      <w:r w:rsidRPr="00372AF8">
        <w:rPr>
          <w:rFonts w:eastAsia="Times New Roman"/>
          <w:b/>
          <w:bCs/>
          <w:lang w:val="en-PH"/>
        </w:rPr>
        <w:t>KYC</w:t>
      </w:r>
      <w:r w:rsidRPr="00372AF8">
        <w:rPr>
          <w:rFonts w:eastAsia="Times New Roman"/>
          <w:bCs/>
          <w:lang w:val="en-PH"/>
        </w:rPr>
        <w:t>) protocols, alongside other security measures to protect investor assets and enhance market transparency.</w:t>
      </w:r>
    </w:p>
    <w:p w14:paraId="693319D8" w14:textId="77777777" w:rsidR="00372AF8" w:rsidRPr="00372AF8" w:rsidRDefault="00372AF8" w:rsidP="00372AF8">
      <w:pPr>
        <w:jc w:val="both"/>
        <w:rPr>
          <w:rFonts w:eastAsia="Times New Roman"/>
          <w:bCs/>
          <w:lang w:val="en-PH"/>
        </w:rPr>
      </w:pPr>
      <w:r w:rsidRPr="00372AF8">
        <w:rPr>
          <w:rFonts w:eastAsia="Times New Roman"/>
          <w:bCs/>
          <w:lang w:val="en-PH"/>
        </w:rPr>
        <w:t xml:space="preserve">The licensing process required HKVAX to demonstrate full compliance with several regulations, including the need for strong capital reserves, secure custody practices, and advanced cybersecurity </w:t>
      </w:r>
      <w:proofErr w:type="gramStart"/>
      <w:r w:rsidRPr="00372AF8">
        <w:rPr>
          <w:rFonts w:eastAsia="Times New Roman"/>
          <w:bCs/>
          <w:lang w:val="en-PH"/>
        </w:rPr>
        <w:t>protocols..</w:t>
      </w:r>
      <w:proofErr w:type="gramEnd"/>
    </w:p>
    <w:p w14:paraId="6873613D" w14:textId="77777777" w:rsidR="00372AF8" w:rsidRPr="00372AF8" w:rsidRDefault="00372AF8" w:rsidP="00372AF8">
      <w:pPr>
        <w:jc w:val="both"/>
        <w:rPr>
          <w:rFonts w:eastAsia="Times New Roman"/>
          <w:bCs/>
          <w:lang w:val="en-PH"/>
        </w:rPr>
      </w:pPr>
      <w:r w:rsidRPr="00372AF8">
        <w:rPr>
          <w:rFonts w:eastAsia="Times New Roman"/>
          <w:bCs/>
          <w:lang w:val="en-PH"/>
        </w:rPr>
        <w:t>In a statement, Anthony Ng, Co-Founder and CEO of HKVAX, remarked, “We are part of a financial landscape revolution, aiming to establish Hong Kong as the STO and RWA center for Asia and beyond.”</w:t>
      </w:r>
    </w:p>
    <w:p w14:paraId="2D663EF9" w14:textId="77777777" w:rsidR="00372AF8" w:rsidRPr="00372AF8" w:rsidRDefault="00372AF8" w:rsidP="00372AF8">
      <w:pPr>
        <w:jc w:val="both"/>
        <w:rPr>
          <w:rFonts w:eastAsia="Times New Roman"/>
          <w:bCs/>
          <w:lang w:val="en-PH"/>
        </w:rPr>
      </w:pPr>
      <w:r w:rsidRPr="00372AF8">
        <w:rPr>
          <w:rFonts w:eastAsia="Times New Roman"/>
          <w:bCs/>
          <w:lang w:val="en-PH"/>
        </w:rPr>
        <w:t>To strengthen its ecosystem, HKVAX has been forming partnerships with industry players, including brokers, Money Service Operators (</w:t>
      </w:r>
      <w:r w:rsidRPr="00372AF8">
        <w:rPr>
          <w:rFonts w:eastAsia="Times New Roman"/>
          <w:b/>
          <w:bCs/>
          <w:lang w:val="en-PH"/>
        </w:rPr>
        <w:t>MSOs</w:t>
      </w:r>
      <w:r w:rsidRPr="00372AF8">
        <w:rPr>
          <w:rFonts w:eastAsia="Times New Roman"/>
          <w:bCs/>
          <w:lang w:val="en-PH"/>
        </w:rPr>
        <w:t>), and Exchange Traded Fund (</w:t>
      </w:r>
      <w:r w:rsidRPr="00372AF8">
        <w:rPr>
          <w:rFonts w:eastAsia="Times New Roman"/>
          <w:b/>
          <w:bCs/>
          <w:lang w:val="en-PH"/>
        </w:rPr>
        <w:t>ETF</w:t>
      </w:r>
      <w:r w:rsidRPr="00372AF8">
        <w:rPr>
          <w:rFonts w:eastAsia="Times New Roman"/>
          <w:bCs/>
          <w:lang w:val="en-PH"/>
        </w:rPr>
        <w:t xml:space="preserve">) issuers to build a virtual asset infrastructure that supports the growth of Hong Kong’s financial innovation sector. The company also plans to introduce end-to-end virtual asset management services, including consulting on asset tokenization, technical support, token issuance, secondary market trading, and comprehensive custody </w:t>
      </w:r>
      <w:proofErr w:type="gramStart"/>
      <w:r w:rsidRPr="00372AF8">
        <w:rPr>
          <w:rFonts w:eastAsia="Times New Roman"/>
          <w:bCs/>
          <w:lang w:val="en-PH"/>
        </w:rPr>
        <w:t>solutions.The</w:t>
      </w:r>
      <w:proofErr w:type="gramEnd"/>
      <w:r w:rsidRPr="00372AF8">
        <w:rPr>
          <w:rFonts w:eastAsia="Times New Roman"/>
          <w:bCs/>
          <w:lang w:val="en-PH"/>
        </w:rPr>
        <w:t xml:space="preserve"> company’s focus on STOs and RWAs positions it well to capitalize on emerging trends in the global financial markets. HKVAX plans to enhance its services, particularly in the areas of STOs and RWAs, providing institutional and professional investors with more opportunities to engage in secure and transparent trading.</w:t>
      </w:r>
    </w:p>
    <w:p w14:paraId="468A99D1" w14:textId="77777777" w:rsidR="00372AF8" w:rsidRPr="00372AF8" w:rsidRDefault="00372AF8" w:rsidP="00823F0C">
      <w:pPr>
        <w:rPr>
          <w:rFonts w:eastAsia="Times New Roman"/>
          <w:bCs/>
          <w:lang w:val="en-PH"/>
        </w:rPr>
      </w:pPr>
      <w:r w:rsidRPr="00372AF8">
        <w:rPr>
          <w:rFonts w:eastAsia="Times New Roman"/>
          <w:bCs/>
          <w:lang w:val="en-PH"/>
        </w:rPr>
        <w:t>(Source: </w:t>
      </w:r>
      <w:hyperlink r:id="rId9" w:tgtFrame="_blank" w:history="1">
        <w:r w:rsidRPr="00372AF8">
          <w:rPr>
            <w:rStyle w:val="Hyperlink"/>
            <w:rFonts w:eastAsia="Times New Roman"/>
            <w:bCs/>
            <w:color w:val="FF6E00"/>
            <w:lang w:val="en-PH"/>
          </w:rPr>
          <w:t>https://www.hkvax.com/news/detail?diffId=1828727641257852928</w:t>
        </w:r>
      </w:hyperlink>
      <w:r w:rsidRPr="00372AF8">
        <w:rPr>
          <w:rFonts w:eastAsia="Times New Roman"/>
          <w:bCs/>
          <w:lang w:val="en-PH"/>
        </w:rPr>
        <w:t>)</w:t>
      </w:r>
    </w:p>
    <w:p w14:paraId="48D6E463" w14:textId="77777777" w:rsidR="00372AF8" w:rsidRDefault="00372AF8" w:rsidP="00823F0C">
      <w:pPr>
        <w:rPr>
          <w:rFonts w:eastAsia="Times New Roman"/>
          <w:bCs/>
        </w:rPr>
      </w:pPr>
    </w:p>
    <w:p w14:paraId="11A2BFB7" w14:textId="77777777" w:rsidR="00372AF8" w:rsidRPr="00372AF8" w:rsidRDefault="00372AF8" w:rsidP="00823F0C">
      <w:pPr>
        <w:rPr>
          <w:b/>
          <w:bCs/>
          <w:color w:val="FF6E00"/>
          <w:lang w:val="en-PH"/>
        </w:rPr>
      </w:pPr>
      <w:r w:rsidRPr="00372AF8">
        <w:rPr>
          <w:b/>
          <w:bCs/>
          <w:color w:val="FF6E00"/>
          <w:lang w:val="en-PH"/>
        </w:rPr>
        <w:t>G7 Competition Authorities and Policymakers Summit: Framework to Ensure Fair Competition in AI Markets</w:t>
      </w:r>
    </w:p>
    <w:p w14:paraId="5E78F00D" w14:textId="77777777" w:rsidR="00372AF8" w:rsidRPr="00372AF8" w:rsidRDefault="00372AF8" w:rsidP="00372AF8">
      <w:pPr>
        <w:jc w:val="both"/>
        <w:rPr>
          <w:rFonts w:eastAsia="Times New Roman"/>
          <w:bCs/>
          <w:lang w:val="en-PH"/>
        </w:rPr>
      </w:pPr>
      <w:r w:rsidRPr="00372AF8">
        <w:rPr>
          <w:rFonts w:eastAsia="Times New Roman"/>
          <w:bCs/>
          <w:lang w:val="en-PH"/>
        </w:rPr>
        <w:t xml:space="preserve">On 3 October 2024, the G7 Competition Authorities and Policymakers </w:t>
      </w:r>
      <w:proofErr w:type="gramStart"/>
      <w:r w:rsidRPr="00372AF8">
        <w:rPr>
          <w:rFonts w:eastAsia="Times New Roman"/>
          <w:bCs/>
          <w:lang w:val="en-PH"/>
        </w:rPr>
        <w:t>Summit  met</w:t>
      </w:r>
      <w:proofErr w:type="gramEnd"/>
      <w:r w:rsidRPr="00372AF8">
        <w:rPr>
          <w:rFonts w:eastAsia="Times New Roman"/>
          <w:bCs/>
          <w:lang w:val="en-PH"/>
        </w:rPr>
        <w:t xml:space="preserve"> in Rome, Italy, to address the competitive challenges presented by the rapid advancement of artificial intelligence technologies, including Generative AI (</w:t>
      </w:r>
      <w:r w:rsidRPr="00372AF8">
        <w:rPr>
          <w:rFonts w:eastAsia="Times New Roman"/>
          <w:b/>
          <w:bCs/>
          <w:lang w:val="en-PH"/>
        </w:rPr>
        <w:t>GenAI</w:t>
      </w:r>
      <w:r w:rsidRPr="00372AF8">
        <w:rPr>
          <w:rFonts w:eastAsia="Times New Roman"/>
          <w:bCs/>
          <w:lang w:val="en-PH"/>
        </w:rPr>
        <w:t xml:space="preserve">). This gathering, hosted by the Italian Competition Authority, </w:t>
      </w:r>
      <w:r w:rsidRPr="00372AF8">
        <w:rPr>
          <w:rFonts w:eastAsia="Times New Roman"/>
          <w:bCs/>
          <w:lang w:val="en-PH"/>
        </w:rPr>
        <w:lastRenderedPageBreak/>
        <w:t>followed up on discussions initiated during the G7 Industry, Technology and Digital Ministerial Meeting in March 2024 and the Tokyo Summit in 2023. The discussions in Rome centered around ensuring that AI-driven innovations foster healthy competition while mitigating risks of market concentration and unfair practices. The US Justice Department’s Antitrust Division and the Federal Trade Commission participated in the summit.</w:t>
      </w:r>
    </w:p>
    <w:p w14:paraId="609E052D" w14:textId="77777777" w:rsidR="00372AF8" w:rsidRPr="00372AF8" w:rsidRDefault="00372AF8" w:rsidP="00372AF8">
      <w:pPr>
        <w:jc w:val="both"/>
        <w:rPr>
          <w:rFonts w:eastAsia="Times New Roman"/>
          <w:bCs/>
          <w:lang w:val="en-PH"/>
        </w:rPr>
      </w:pPr>
      <w:r w:rsidRPr="00372AF8">
        <w:rPr>
          <w:rFonts w:eastAsia="Times New Roman"/>
          <w:bCs/>
          <w:lang w:val="en-PH"/>
        </w:rPr>
        <w:t>The </w:t>
      </w:r>
      <w:hyperlink r:id="rId10" w:tgtFrame="_blank" w:history="1">
        <w:r w:rsidRPr="00372AF8">
          <w:rPr>
            <w:rStyle w:val="Hyperlink"/>
            <w:rFonts w:eastAsia="Times New Roman"/>
            <w:bCs/>
            <w:color w:val="FF6E00"/>
            <w:u w:val="none"/>
            <w:lang w:val="en-PH"/>
          </w:rPr>
          <w:t>communiqué</w:t>
        </w:r>
      </w:hyperlink>
      <w:r w:rsidRPr="00372AF8">
        <w:rPr>
          <w:rFonts w:eastAsia="Times New Roman"/>
          <w:bCs/>
          <w:lang w:val="en-PH"/>
        </w:rPr>
        <w:t> discusses the transformative potential of AI for economies and societies along with its ability to increase productivity and spur innovation across multiple sectors. However, the communiqué also stresses that to fully reap the benefits of AI, it is crucial to maintain open and contestable markets. The G7 participants voiced concerns that certain characteristics of AI markets, particularly in the development of GenAI, could lead to the concentration of market power, stifling innovation and competition. These concerns include the high costs associated with AI development, economies of scale that favor large players, and network effects that could entrench incumbents. The accumulation of proprietary data and the creation of data feedback loops could further exacerbate these issues, making it difficult for new entrants to compete.</w:t>
      </w:r>
    </w:p>
    <w:p w14:paraId="2939831D" w14:textId="77777777" w:rsidR="00372AF8" w:rsidRPr="00372AF8" w:rsidRDefault="00372AF8" w:rsidP="00372AF8">
      <w:pPr>
        <w:jc w:val="both"/>
        <w:rPr>
          <w:rFonts w:eastAsia="Times New Roman"/>
          <w:bCs/>
          <w:lang w:val="en-PH"/>
        </w:rPr>
      </w:pPr>
      <w:r w:rsidRPr="00372AF8">
        <w:rPr>
          <w:rFonts w:eastAsia="Times New Roman"/>
          <w:bCs/>
          <w:lang w:val="en-PH"/>
        </w:rPr>
        <w:t>The communiqué notes that the availability of critical inputs, such as computing infrastructure, specialized chips, and AI talent, is increasingly controlled by a small number of firms which could create bottlenecks, limiting access for new entrants and heightening competition concerns. The partnerships between large AI companies and incumbent digital platforms, many of which already hold substantial market power, also raise alarms about the potential for these incumbents to consolidate their dominance across both digital and AI markets.</w:t>
      </w:r>
    </w:p>
    <w:p w14:paraId="1E67BB5D" w14:textId="77777777" w:rsidR="00372AF8" w:rsidRPr="00372AF8" w:rsidRDefault="00372AF8" w:rsidP="00372AF8">
      <w:pPr>
        <w:jc w:val="both"/>
        <w:rPr>
          <w:rFonts w:eastAsia="Times New Roman"/>
          <w:bCs/>
          <w:lang w:val="en-PH"/>
        </w:rPr>
      </w:pPr>
      <w:r w:rsidRPr="00372AF8">
        <w:rPr>
          <w:rFonts w:eastAsia="Times New Roman"/>
          <w:bCs/>
          <w:lang w:val="en-PH"/>
        </w:rPr>
        <w:t>Throughout the discussions, the participants agreed that dominant firms with significant influence in digital markets might use their power to extend control over AI markets. Practices such as self-preferencing, bundling, and leveraging network effects could restrict consumer choices and raise barriers to entry for smaller competitors. The risk of collusion using AI algorithms, whether through pricing coordination or the sharing of sensitive competitive information, was also flagged as a potential concern. Such practices could harm consumers by facilitating price fixing or surveillance pricing, ultimately undermining competition and trust in AI-driven markets.</w:t>
      </w:r>
    </w:p>
    <w:p w14:paraId="0C8BB1BC" w14:textId="77777777" w:rsidR="00372AF8" w:rsidRPr="00372AF8" w:rsidRDefault="00372AF8" w:rsidP="00372AF8">
      <w:pPr>
        <w:jc w:val="both"/>
        <w:rPr>
          <w:rFonts w:eastAsia="Times New Roman"/>
          <w:bCs/>
          <w:lang w:val="en-PH"/>
        </w:rPr>
      </w:pPr>
      <w:r w:rsidRPr="00372AF8">
        <w:rPr>
          <w:rFonts w:eastAsia="Times New Roman"/>
          <w:bCs/>
          <w:lang w:val="en-PH"/>
        </w:rPr>
        <w:t>The communiqué expands the scope of the competition issues into broader societal concerns. AI’s reliance on human-generated content, such as art, writing, and intellectual property, for its training raises questions about the protection of creators and the potential suppression of innovation in these areas. With a limited number of firms controlling the AI ecosystem, creators may be undercompensated, and new innovations could be stifled. Protecting consumer rights is another pressing issue, with the potential for AI-generated outputs to mislead or manipulate consumer decision-making. The sheer volume of data required for AI systems, coupled with concerns about privacy and data protection, reinforces the need for stringent compliance with existing rules and regulations to safeguard personal data and maintain public trust.</w:t>
      </w:r>
    </w:p>
    <w:p w14:paraId="662E2FB1" w14:textId="77777777" w:rsidR="00372AF8" w:rsidRPr="00372AF8" w:rsidRDefault="00372AF8" w:rsidP="00372AF8">
      <w:pPr>
        <w:jc w:val="both"/>
        <w:rPr>
          <w:rFonts w:eastAsia="Times New Roman"/>
          <w:bCs/>
          <w:lang w:val="en-PH"/>
        </w:rPr>
      </w:pPr>
      <w:r w:rsidRPr="00372AF8">
        <w:rPr>
          <w:rFonts w:eastAsia="Times New Roman"/>
          <w:bCs/>
          <w:lang w:val="en-PH"/>
        </w:rPr>
        <w:t xml:space="preserve">In response to these challenges, the communiqué outlines several guiding principles to ensure that AI markets remain open, fair, and conducive to innovation. It calls for proactive measures to prevent dominant digital platforms from exploiting their market positions and foreclosing competition by ensuring that AI chips and training data remain accessible to new to foster a competitive environment. Openness and interoperability are key tenets, with the belief that consumers, businesses, and innovation will benefit from systems that allow for flexibility, switching, and diversity of models in the AI marketplace. </w:t>
      </w:r>
      <w:r w:rsidRPr="00372AF8">
        <w:rPr>
          <w:rFonts w:eastAsia="Times New Roman"/>
          <w:bCs/>
          <w:lang w:val="en-PH"/>
        </w:rPr>
        <w:lastRenderedPageBreak/>
        <w:t>Transparency, both in terms of AI’s data usage and its limitations, is highlighted as essential for building trust among consumers and businesses. Authorities committed to remaining vigilant against anti-competitive practices, ensuring that AI technologies are developed and deployed responsibly and ethically.</w:t>
      </w:r>
    </w:p>
    <w:p w14:paraId="14E89490" w14:textId="77777777" w:rsidR="00372AF8" w:rsidRPr="00372AF8" w:rsidRDefault="00372AF8" w:rsidP="00372AF8">
      <w:pPr>
        <w:jc w:val="both"/>
        <w:rPr>
          <w:rFonts w:eastAsia="Times New Roman"/>
          <w:bCs/>
          <w:lang w:val="en-PH"/>
        </w:rPr>
      </w:pPr>
      <w:r w:rsidRPr="00372AF8">
        <w:rPr>
          <w:rFonts w:eastAsia="Times New Roman"/>
          <w:bCs/>
          <w:lang w:val="en-PH"/>
        </w:rPr>
        <w:t>The participants discussed the importance of enforcing competition laws with vigor and foresight, as AI markets are still in their early stages. By acting preemptively, competition authorities aim to prevent the entrenchment of market power and to ensure that competition remains robust as AI technologies continue to evolve. The need for tailored remedies that account for the specific dynamics of AI markets, such as network effects and data feedback loops, is acknowledged as essential to restoring competition when necessary.</w:t>
      </w:r>
    </w:p>
    <w:p w14:paraId="39980412" w14:textId="77777777" w:rsidR="00372AF8" w:rsidRPr="00372AF8" w:rsidRDefault="00372AF8" w:rsidP="00372AF8">
      <w:pPr>
        <w:jc w:val="both"/>
        <w:rPr>
          <w:rFonts w:eastAsia="Times New Roman"/>
          <w:bCs/>
          <w:lang w:val="en-PH"/>
        </w:rPr>
      </w:pPr>
      <w:r w:rsidRPr="00372AF8">
        <w:rPr>
          <w:rFonts w:eastAsia="Times New Roman"/>
          <w:bCs/>
          <w:lang w:val="en-PH"/>
        </w:rPr>
        <w:t>The G7 competition authorities affirmed their intention to closely monitor market developments in AI and digital platforms, especially in relation to strategic partnerships and emerging market structures. Recognizing the rapid pace of technological change, they also underlined the importance of adaptive policies and regulations that keep pace with innovation while preserving the core principles of fair competition. Digital regulations and AI-specific frameworks are expected to complement traditional competition enforcement, with particular attention given to promoting access to key AI inputs, such as supercomputing capacity, which could alleviate some of the existing barriers to entry.</w:t>
      </w:r>
    </w:p>
    <w:p w14:paraId="17E10361" w14:textId="77777777" w:rsidR="00372AF8" w:rsidRPr="00372AF8" w:rsidRDefault="00372AF8" w:rsidP="00372AF8">
      <w:pPr>
        <w:jc w:val="both"/>
        <w:rPr>
          <w:rFonts w:eastAsia="Times New Roman"/>
          <w:bCs/>
          <w:lang w:val="en-PH"/>
        </w:rPr>
      </w:pPr>
      <w:r w:rsidRPr="00372AF8">
        <w:rPr>
          <w:rFonts w:eastAsia="Times New Roman"/>
          <w:bCs/>
          <w:lang w:val="en-PH"/>
        </w:rPr>
        <w:t>The communiqué also discusses the need for competition authorities to enhance their digital expertise, building the technological capabilities necessary to detect and address competition risks early. International cooperation was a recurring theme, with participants committing to sharing knowledge and best practices to stay ahead of the challenges posed by AI. The G7 members also discussed the importance of engaging with other international bodies, such as the OECD and the UN, to ensure that competition policy remains aligned with global developments in AI and digital markets.</w:t>
      </w:r>
    </w:p>
    <w:p w14:paraId="2E4B55BD" w14:textId="77777777" w:rsidR="00372AF8" w:rsidRPr="00372AF8" w:rsidRDefault="00372AF8" w:rsidP="00372AF8">
      <w:pPr>
        <w:jc w:val="both"/>
        <w:rPr>
          <w:rFonts w:eastAsia="Times New Roman"/>
          <w:bCs/>
          <w:lang w:val="en-PH"/>
        </w:rPr>
      </w:pPr>
      <w:r w:rsidRPr="00372AF8">
        <w:rPr>
          <w:rFonts w:eastAsia="Times New Roman"/>
          <w:bCs/>
          <w:lang w:val="en-PH"/>
        </w:rPr>
        <w:t>As the G7 competition authorities look ahead to Canada’s presidency in 2025, they reestablished their commitment to ongoing collaboration and knowledge-sharing as the rapidly changing digital landscape requires continuous dialogue and proactive enforcement to safeguard open, fair, and competitive AI markets.</w:t>
      </w:r>
    </w:p>
    <w:p w14:paraId="1B2501AA" w14:textId="77777777" w:rsidR="00372AF8" w:rsidRPr="00372AF8" w:rsidRDefault="00372AF8" w:rsidP="00823F0C">
      <w:pPr>
        <w:rPr>
          <w:rFonts w:eastAsia="Times New Roman"/>
          <w:bCs/>
          <w:lang w:val="en-PH"/>
        </w:rPr>
      </w:pPr>
      <w:r w:rsidRPr="00372AF8">
        <w:rPr>
          <w:rFonts w:eastAsia="Times New Roman"/>
          <w:bCs/>
          <w:lang w:val="en-PH"/>
        </w:rPr>
        <w:t>(Source: </w:t>
      </w:r>
      <w:hyperlink r:id="rId11" w:tgtFrame="_blank" w:history="1">
        <w:r w:rsidRPr="00372AF8">
          <w:rPr>
            <w:rStyle w:val="Hyperlink"/>
            <w:rFonts w:eastAsia="Times New Roman"/>
            <w:bCs/>
            <w:color w:val="FF6E00"/>
            <w:lang w:val="en-PH"/>
          </w:rPr>
          <w:t>https://en.agcm.it/dotcmsdoc/pressrelease/G7%202024%20-%20Digital%20Competition%20Communiqu%C3%A9.pdf</w:t>
        </w:r>
      </w:hyperlink>
      <w:r w:rsidRPr="00372AF8">
        <w:rPr>
          <w:rFonts w:eastAsia="Times New Roman"/>
          <w:bCs/>
          <w:lang w:val="en-PH"/>
        </w:rPr>
        <w:t>, </w:t>
      </w:r>
      <w:hyperlink r:id="rId12" w:tgtFrame="_blank" w:history="1">
        <w:r w:rsidRPr="00372AF8">
          <w:rPr>
            <w:rStyle w:val="Hyperlink"/>
            <w:rFonts w:eastAsia="Times New Roman"/>
            <w:bCs/>
            <w:color w:val="FF6E00"/>
            <w:lang w:val="en-PH"/>
          </w:rPr>
          <w:t>https://www.justice.gov/opa/pr/justice-department-and-federal-trade-commission-meet-g7-enforcement-partners-rome-discuss</w:t>
        </w:r>
      </w:hyperlink>
      <w:r w:rsidRPr="00372AF8">
        <w:rPr>
          <w:rFonts w:eastAsia="Times New Roman"/>
          <w:bCs/>
          <w:lang w:val="en-PH"/>
        </w:rPr>
        <w:t>)</w:t>
      </w:r>
    </w:p>
    <w:p w14:paraId="2AB6828D" w14:textId="77777777" w:rsidR="00372AF8" w:rsidRDefault="00372AF8" w:rsidP="00823F0C">
      <w:pPr>
        <w:rPr>
          <w:rFonts w:eastAsia="Times New Roman"/>
          <w:bCs/>
        </w:rPr>
      </w:pPr>
    </w:p>
    <w:p w14:paraId="270AAC00" w14:textId="77777777" w:rsidR="00372AF8" w:rsidRPr="00372AF8" w:rsidRDefault="00372AF8" w:rsidP="00823F0C">
      <w:pPr>
        <w:rPr>
          <w:b/>
          <w:bCs/>
          <w:color w:val="FF6E00"/>
          <w:lang w:val="en-PH"/>
        </w:rPr>
      </w:pPr>
      <w:r w:rsidRPr="00372AF8">
        <w:rPr>
          <w:b/>
          <w:bCs/>
          <w:color w:val="FF6E00"/>
          <w:lang w:val="en-PH"/>
        </w:rPr>
        <w:t>Singapore Enforces New Anti-Money Laundering Rules: Tightens Crypto Regulations to Combat Money Laundering</w:t>
      </w:r>
    </w:p>
    <w:p w14:paraId="7E59F5FD" w14:textId="77777777" w:rsidR="00372AF8" w:rsidRPr="00372AF8" w:rsidRDefault="00372AF8" w:rsidP="00372AF8">
      <w:pPr>
        <w:jc w:val="both"/>
        <w:rPr>
          <w:rFonts w:eastAsia="Times New Roman"/>
          <w:bCs/>
          <w:lang w:val="en-PH"/>
        </w:rPr>
      </w:pPr>
      <w:r w:rsidRPr="00372AF8">
        <w:rPr>
          <w:rFonts w:eastAsia="Times New Roman"/>
          <w:bCs/>
          <w:lang w:val="en-PH"/>
        </w:rPr>
        <w:t>On 4 October 2024, the Singapore’s Inter-Ministerial Committee (</w:t>
      </w:r>
      <w:r w:rsidRPr="00372AF8">
        <w:rPr>
          <w:rFonts w:eastAsia="Times New Roman"/>
          <w:b/>
          <w:bCs/>
          <w:lang w:val="en-PH"/>
        </w:rPr>
        <w:t>IMC</w:t>
      </w:r>
      <w:r w:rsidRPr="00372AF8">
        <w:rPr>
          <w:rFonts w:eastAsia="Times New Roman"/>
          <w:bCs/>
          <w:lang w:val="en-PH"/>
        </w:rPr>
        <w:t>) issued its </w:t>
      </w:r>
      <w:hyperlink r:id="rId13" w:tgtFrame="_blank" w:history="1">
        <w:r w:rsidRPr="00372AF8">
          <w:rPr>
            <w:rStyle w:val="Hyperlink"/>
            <w:rFonts w:eastAsia="Times New Roman"/>
            <w:bCs/>
            <w:color w:val="FF6E00"/>
            <w:u w:val="none"/>
            <w:lang w:val="en-PH"/>
          </w:rPr>
          <w:t>report</w:t>
        </w:r>
      </w:hyperlink>
      <w:r w:rsidRPr="00372AF8">
        <w:rPr>
          <w:rFonts w:eastAsia="Times New Roman"/>
          <w:bCs/>
          <w:lang w:val="en-PH"/>
        </w:rPr>
        <w:t>, presenting the findings and recommendations following a comprehensive review of Singapore’s Anti-Money Laundering framework. The report discusses in detail the areas of the AML system, assesses its effectiveness, and proposes improvements to strengthen Singapore’s stance against money laundering activities which aim to align Singapore’s regulatory measures with global best practices and ensure that the framework remains effective and responsive in emerging financial threats.</w:t>
      </w:r>
    </w:p>
    <w:p w14:paraId="5C3EEF02" w14:textId="77777777" w:rsidR="00372AF8" w:rsidRPr="00372AF8" w:rsidRDefault="00372AF8" w:rsidP="00372AF8">
      <w:pPr>
        <w:jc w:val="both"/>
        <w:rPr>
          <w:rFonts w:eastAsia="Times New Roman"/>
          <w:bCs/>
          <w:lang w:val="en-PH"/>
        </w:rPr>
      </w:pPr>
      <w:r w:rsidRPr="00372AF8">
        <w:rPr>
          <w:rFonts w:eastAsia="Times New Roman"/>
          <w:bCs/>
          <w:lang w:val="en-PH"/>
        </w:rPr>
        <w:lastRenderedPageBreak/>
        <w:t xml:space="preserve">In background of this on 15 August 2023, the Monetary Authority of Singapore, in collaboration with government bodies such as the Singapore’s Ministry of Finance, Singapore’s Ministry of Home Affairs, Singapore’s Ministry of Law, and the Singapore’s Immigration and Checkpoints Authority, took steps to dismantle the money laundering network. This joint operation led to the arrest of ten individuals and the seizure of more than SG$3 billion in assets. The case emphasized the need to strengthen Singapore’s anti-money </w:t>
      </w:r>
      <w:proofErr w:type="gramStart"/>
      <w:r w:rsidRPr="00372AF8">
        <w:rPr>
          <w:rFonts w:eastAsia="Times New Roman"/>
          <w:bCs/>
          <w:lang w:val="en-PH"/>
        </w:rPr>
        <w:t>laundering  framework</w:t>
      </w:r>
      <w:proofErr w:type="gramEnd"/>
      <w:r w:rsidRPr="00372AF8">
        <w:rPr>
          <w:rFonts w:eastAsia="Times New Roman"/>
          <w:bCs/>
          <w:lang w:val="en-PH"/>
        </w:rPr>
        <w:t>, resulting in the establishment of the Inter-Ministerial Committee in November 2023 to review and fortify the country’s defenses against financial crime.</w:t>
      </w:r>
    </w:p>
    <w:p w14:paraId="7564028E" w14:textId="77777777" w:rsidR="00372AF8" w:rsidRPr="00372AF8" w:rsidRDefault="00372AF8" w:rsidP="00372AF8">
      <w:pPr>
        <w:jc w:val="both"/>
        <w:rPr>
          <w:rFonts w:eastAsia="Times New Roman"/>
          <w:bCs/>
          <w:lang w:val="en-PH"/>
        </w:rPr>
      </w:pPr>
      <w:r w:rsidRPr="00372AF8">
        <w:rPr>
          <w:rFonts w:eastAsia="Times New Roman"/>
          <w:bCs/>
          <w:lang w:val="en-PH"/>
        </w:rPr>
        <w:t>The Inter-Ministerial Committee (</w:t>
      </w:r>
      <w:r w:rsidRPr="00372AF8">
        <w:rPr>
          <w:rFonts w:eastAsia="Times New Roman"/>
          <w:b/>
          <w:bCs/>
          <w:lang w:val="en-PH"/>
        </w:rPr>
        <w:t>IMC</w:t>
      </w:r>
      <w:r w:rsidRPr="00372AF8">
        <w:rPr>
          <w:rFonts w:eastAsia="Times New Roman"/>
          <w:bCs/>
          <w:lang w:val="en-PH"/>
        </w:rPr>
        <w:t>), established in November 2023, presented recommendations to strengthen Singapore’s Anti-Money Laundering (</w:t>
      </w:r>
      <w:r w:rsidRPr="00372AF8">
        <w:rPr>
          <w:rFonts w:eastAsia="Times New Roman"/>
          <w:b/>
          <w:bCs/>
          <w:lang w:val="en-PH"/>
        </w:rPr>
        <w:t>AML</w:t>
      </w:r>
      <w:r w:rsidRPr="00372AF8">
        <w:rPr>
          <w:rFonts w:eastAsia="Times New Roman"/>
          <w:bCs/>
          <w:lang w:val="en-PH"/>
        </w:rPr>
        <w:t>) framework. These recommendations focus on three areas: Prevention, Detection, and Enforcement.</w:t>
      </w:r>
    </w:p>
    <w:p w14:paraId="18C2F1D5" w14:textId="77777777" w:rsidR="00372AF8" w:rsidRPr="00372AF8" w:rsidRDefault="00372AF8" w:rsidP="00372AF8">
      <w:pPr>
        <w:jc w:val="both"/>
        <w:rPr>
          <w:rFonts w:eastAsia="Times New Roman"/>
          <w:bCs/>
          <w:lang w:val="en-PH"/>
        </w:rPr>
      </w:pPr>
      <w:r w:rsidRPr="00372AF8">
        <w:rPr>
          <w:rFonts w:eastAsia="Times New Roman"/>
          <w:bCs/>
          <w:lang w:val="en-PH"/>
        </w:rPr>
        <w:t>For strengthening of gatekeeper responsibilities entities such as financial institutions, corporate service providers (</w:t>
      </w:r>
      <w:r w:rsidRPr="00372AF8">
        <w:rPr>
          <w:rFonts w:eastAsia="Times New Roman"/>
          <w:b/>
          <w:bCs/>
          <w:lang w:val="en-PH"/>
        </w:rPr>
        <w:t>CSPs</w:t>
      </w:r>
      <w:r w:rsidRPr="00372AF8">
        <w:rPr>
          <w:rFonts w:eastAsia="Times New Roman"/>
          <w:bCs/>
          <w:lang w:val="en-PH"/>
        </w:rPr>
        <w:t>), real estate agents, and dealers in precious stones and metals are now required to conduct thorough Customer Due Diligence (</w:t>
      </w:r>
      <w:r w:rsidRPr="00372AF8">
        <w:rPr>
          <w:rFonts w:eastAsia="Times New Roman"/>
          <w:b/>
          <w:bCs/>
          <w:lang w:val="en-PH"/>
        </w:rPr>
        <w:t>CDD</w:t>
      </w:r>
      <w:r w:rsidRPr="00372AF8">
        <w:rPr>
          <w:rFonts w:eastAsia="Times New Roman"/>
          <w:bCs/>
          <w:lang w:val="en-PH"/>
        </w:rPr>
        <w:t>) to ensures that criminals are not able to misuse corporate structures or evade financial checks through weak oversight. The regulatory framework has also been expanded to give specific focus to bring more non-financial institutions and professionals under the AML regulatory umbrella to reduce opportunities for money laundering outside traditional financial channels. There is also an increased scrutiny on corporate structures so that companies cannot be used as shells for laundering money. The amendments to the Corporate Service Providers Act (</w:t>
      </w:r>
      <w:r w:rsidRPr="00372AF8">
        <w:rPr>
          <w:rFonts w:eastAsia="Times New Roman"/>
          <w:b/>
          <w:lang w:val="en-PH"/>
        </w:rPr>
        <w:t>CSP Act</w:t>
      </w:r>
      <w:r w:rsidRPr="00372AF8">
        <w:rPr>
          <w:rFonts w:eastAsia="Times New Roman"/>
          <w:bCs/>
          <w:lang w:val="en-PH"/>
        </w:rPr>
        <w:t>) prevent the establishment of shell companies without thorough checks.</w:t>
      </w:r>
    </w:p>
    <w:p w14:paraId="09C42FC1" w14:textId="77777777" w:rsidR="00372AF8" w:rsidRPr="00372AF8" w:rsidRDefault="00372AF8" w:rsidP="00372AF8">
      <w:pPr>
        <w:jc w:val="both"/>
        <w:rPr>
          <w:rFonts w:eastAsia="Times New Roman"/>
          <w:bCs/>
          <w:lang w:val="en-PH"/>
        </w:rPr>
      </w:pPr>
      <w:r w:rsidRPr="00372AF8">
        <w:rPr>
          <w:rFonts w:eastAsia="Times New Roman"/>
          <w:bCs/>
          <w:lang w:val="en-PH"/>
        </w:rPr>
        <w:t>The IMC also emphasized the importance of improving detection capabilities by enhancing data sharing and sense-making among different government agencies and has launched the Collaborative Sharing of Money Laundering/Terrorism Financing Information and Cases (</w:t>
      </w:r>
      <w:r w:rsidRPr="00372AF8">
        <w:rPr>
          <w:rFonts w:eastAsia="Times New Roman"/>
          <w:b/>
          <w:bCs/>
          <w:lang w:val="en-PH"/>
        </w:rPr>
        <w:t>COSMIC</w:t>
      </w:r>
      <w:r w:rsidRPr="00372AF8">
        <w:rPr>
          <w:rFonts w:eastAsia="Times New Roman"/>
          <w:bCs/>
          <w:lang w:val="en-PH"/>
        </w:rPr>
        <w:t>) platform. This platform allows financial institutions to share real-time data on suspicious individuals and transactions and creating a unified approach to detecting illicit financial activities. The IMC recommended the development of a National AML Verification Interface (</w:t>
      </w:r>
      <w:r w:rsidRPr="00372AF8">
        <w:rPr>
          <w:rFonts w:eastAsia="Times New Roman"/>
          <w:b/>
          <w:bCs/>
          <w:lang w:val="en-PH"/>
        </w:rPr>
        <w:t>NAVIGATE</w:t>
      </w:r>
      <w:r w:rsidRPr="00372AF8">
        <w:rPr>
          <w:rFonts w:eastAsia="Times New Roman"/>
          <w:bCs/>
          <w:lang w:val="en-PH"/>
        </w:rPr>
        <w:t>), which will facilitate cross-agency data sharing and analysis to ensure quicker detection of money laundering risks. The system will pool intelligence from various sectors to identify potential risks earlier and more effectively. The report also proposed expanding access to Suspicious Transaction Reports (</w:t>
      </w:r>
      <w:r w:rsidRPr="00372AF8">
        <w:rPr>
          <w:rFonts w:eastAsia="Times New Roman"/>
          <w:b/>
          <w:bCs/>
          <w:lang w:val="en-PH"/>
        </w:rPr>
        <w:t>STRs</w:t>
      </w:r>
      <w:r w:rsidRPr="00372AF8">
        <w:rPr>
          <w:rFonts w:eastAsia="Times New Roman"/>
          <w:bCs/>
          <w:lang w:val="en-PH"/>
        </w:rPr>
        <w:t>) for sector-specific agencies, such as ACRA and the Council for Estate Agencies (</w:t>
      </w:r>
      <w:r w:rsidRPr="00372AF8">
        <w:rPr>
          <w:rFonts w:eastAsia="Times New Roman"/>
          <w:b/>
          <w:bCs/>
          <w:lang w:val="en-PH"/>
        </w:rPr>
        <w:t>CEA</w:t>
      </w:r>
      <w:r w:rsidRPr="00372AF8">
        <w:rPr>
          <w:rFonts w:eastAsia="Times New Roman"/>
          <w:bCs/>
          <w:lang w:val="en-PH"/>
        </w:rPr>
        <w:t>).</w:t>
      </w:r>
    </w:p>
    <w:p w14:paraId="4668BB81" w14:textId="77777777" w:rsidR="00372AF8" w:rsidRPr="00372AF8" w:rsidRDefault="00372AF8" w:rsidP="00372AF8">
      <w:pPr>
        <w:jc w:val="both"/>
        <w:rPr>
          <w:rFonts w:eastAsia="Times New Roman"/>
          <w:bCs/>
          <w:lang w:val="en-PH"/>
        </w:rPr>
      </w:pPr>
      <w:r w:rsidRPr="00372AF8">
        <w:rPr>
          <w:rFonts w:eastAsia="Times New Roman"/>
          <w:bCs/>
          <w:lang w:val="en-PH"/>
        </w:rPr>
        <w:t>To strengthen the enforcement front, the IMC recommended strengthening legal tools and frameworks to ensure that law enforcement agencies have the powers needed to prosecute money laundering offenses. Legislative amendments were passed under the Sinagpore’s Anti-Money Laundering and Other Matters Act (</w:t>
      </w:r>
      <w:r w:rsidRPr="00372AF8">
        <w:rPr>
          <w:rFonts w:eastAsia="Times New Roman"/>
          <w:b/>
          <w:bCs/>
          <w:lang w:val="en-PH"/>
        </w:rPr>
        <w:t>AMLOM Act</w:t>
      </w:r>
      <w:r w:rsidRPr="00372AF8">
        <w:rPr>
          <w:rFonts w:eastAsia="Times New Roman"/>
          <w:bCs/>
          <w:lang w:val="en-PH"/>
        </w:rPr>
        <w:t>) in August 2024, which lowered the burden of proof in cases involving foreign criminal proceeds to streamline the prosecution process, particularly in cases involving complex, transnational money laundering schemes. The IMC also stressed the need to regularly review penalty frameworks to ensure they remain dissuasive and proportionate to the severity of the crime imposing stricter penalties on gatekeepers who fail to fulfill their AML obligations, holding them accountable for lapses in oversight.</w:t>
      </w:r>
    </w:p>
    <w:p w14:paraId="3AEE2D23" w14:textId="77777777" w:rsidR="00372AF8" w:rsidRPr="00372AF8" w:rsidRDefault="00372AF8" w:rsidP="00372AF8">
      <w:pPr>
        <w:jc w:val="both"/>
        <w:rPr>
          <w:rFonts w:eastAsia="Times New Roman"/>
          <w:bCs/>
          <w:lang w:val="en-PH"/>
        </w:rPr>
      </w:pPr>
      <w:r w:rsidRPr="00372AF8">
        <w:rPr>
          <w:rFonts w:eastAsia="Times New Roman"/>
          <w:bCs/>
          <w:lang w:val="en-PH"/>
        </w:rPr>
        <w:t>The IMC recommended the Cross-Border Cash Reporting Regime (</w:t>
      </w:r>
      <w:r w:rsidRPr="00372AF8">
        <w:rPr>
          <w:rFonts w:eastAsia="Times New Roman"/>
          <w:b/>
          <w:bCs/>
          <w:lang w:val="en-PH"/>
        </w:rPr>
        <w:t>CBCRR</w:t>
      </w:r>
      <w:r w:rsidRPr="00372AF8">
        <w:rPr>
          <w:rFonts w:eastAsia="Times New Roman"/>
          <w:bCs/>
          <w:lang w:val="en-PH"/>
        </w:rPr>
        <w:t xml:space="preserve">) which proposed high penalties for undeclared cross-border cash movements and the introduction of electronic submissions for reporting designed to make it difficult for criminals to transport illicit funds across borders without detection and </w:t>
      </w:r>
      <w:r w:rsidRPr="00372AF8">
        <w:rPr>
          <w:rFonts w:eastAsia="Times New Roman"/>
          <w:bCs/>
          <w:lang w:val="en-PH"/>
        </w:rPr>
        <w:lastRenderedPageBreak/>
        <w:t>to serve as a deterrent against using physical cash as a method of laundering money, particularly in large sums.</w:t>
      </w:r>
    </w:p>
    <w:p w14:paraId="5E46796B" w14:textId="77777777" w:rsidR="00372AF8" w:rsidRPr="00372AF8" w:rsidRDefault="00372AF8" w:rsidP="00372AF8">
      <w:pPr>
        <w:jc w:val="both"/>
        <w:rPr>
          <w:rFonts w:eastAsia="Times New Roman"/>
          <w:bCs/>
          <w:lang w:val="en-PH"/>
        </w:rPr>
      </w:pPr>
      <w:r w:rsidRPr="00372AF8">
        <w:rPr>
          <w:rFonts w:eastAsia="Times New Roman"/>
          <w:bCs/>
          <w:lang w:val="en-PH"/>
        </w:rPr>
        <w:t xml:space="preserve">To combat with Money Laundering threats, under the Singapore’s Payment Services Act the cryptocurrency service providers and digital payment token service providers, which include cryptocurrency exchanges and wallet providers, are required to conduct robust Customer Due Diligence procedures, </w:t>
      </w:r>
      <w:proofErr w:type="gramStart"/>
      <w:r w:rsidRPr="00372AF8">
        <w:rPr>
          <w:rFonts w:eastAsia="Times New Roman"/>
          <w:bCs/>
          <w:lang w:val="en-PH"/>
        </w:rPr>
        <w:t>similar to</w:t>
      </w:r>
      <w:proofErr w:type="gramEnd"/>
      <w:r w:rsidRPr="00372AF8">
        <w:rPr>
          <w:rFonts w:eastAsia="Times New Roman"/>
          <w:bCs/>
          <w:lang w:val="en-PH"/>
        </w:rPr>
        <w:t xml:space="preserve"> those imposed on traditional financial institutions. Under Singapore’s Financial Services and Markets Act, which was updated to broaden the scope of AML regulations to encompass virtual assets. Under this framework, MAS has included stablecoins within the AML/CFT regulatory perimeter and therefore stablecoins, as well as other forms of cryptocurrencies, must adhere to the same anti-money laundering measures as fiat currencies. MAS have implemented provisions that require service providers to comply with travel rule requirements which in principle obliges virtual asset service providers to ensure that information about the originator and beneficiary of cryptocurrency transactions is included and shared during a transfer.</w:t>
      </w:r>
    </w:p>
    <w:p w14:paraId="50ACF8AE" w14:textId="77777777" w:rsidR="00372AF8" w:rsidRPr="00372AF8" w:rsidRDefault="00372AF8" w:rsidP="00823F0C">
      <w:pPr>
        <w:rPr>
          <w:rFonts w:eastAsia="Times New Roman"/>
          <w:bCs/>
          <w:lang w:val="en-PH"/>
        </w:rPr>
      </w:pPr>
      <w:r w:rsidRPr="00372AF8">
        <w:rPr>
          <w:rFonts w:eastAsia="Times New Roman"/>
          <w:bCs/>
          <w:lang w:val="en-PH"/>
        </w:rPr>
        <w:t>(Source: </w:t>
      </w:r>
      <w:hyperlink r:id="rId14" w:tgtFrame="_blank" w:history="1">
        <w:r w:rsidRPr="00372AF8">
          <w:rPr>
            <w:rStyle w:val="Hyperlink"/>
            <w:rFonts w:eastAsia="Times New Roman"/>
            <w:bCs/>
            <w:color w:val="FF6E00"/>
            <w:lang w:val="en-PH"/>
          </w:rPr>
          <w:t>https://www.mas.gov.sg/-/media/mas-media-library/news/media-releases/2024/imc-report.pdf</w:t>
        </w:r>
      </w:hyperlink>
      <w:r w:rsidRPr="00372AF8">
        <w:rPr>
          <w:rFonts w:eastAsia="Times New Roman"/>
          <w:bCs/>
          <w:lang w:val="en-PH"/>
        </w:rPr>
        <w:t>, </w:t>
      </w:r>
      <w:hyperlink r:id="rId15" w:tgtFrame="_blank" w:history="1">
        <w:r w:rsidRPr="00372AF8">
          <w:rPr>
            <w:rStyle w:val="Hyperlink"/>
            <w:rFonts w:eastAsia="Times New Roman"/>
            <w:bCs/>
            <w:color w:val="FF6E00"/>
            <w:lang w:val="en-PH"/>
          </w:rPr>
          <w:t>https://www.mas.gov.sg/news/media-releases/2024/singapore-refreshes-the-tf-nra-and-national-strategy-for-cft</w:t>
        </w:r>
      </w:hyperlink>
      <w:r w:rsidRPr="00372AF8">
        <w:rPr>
          <w:rFonts w:eastAsia="Times New Roman"/>
          <w:bCs/>
          <w:lang w:val="en-PH"/>
        </w:rPr>
        <w:t>)</w:t>
      </w:r>
    </w:p>
    <w:p w14:paraId="3485F671" w14:textId="77777777" w:rsidR="00372AF8" w:rsidRDefault="00372AF8" w:rsidP="00F155B0">
      <w:pPr>
        <w:jc w:val="both"/>
        <w:rPr>
          <w:rFonts w:eastAsia="Times New Roman"/>
          <w:bCs/>
        </w:rPr>
      </w:pPr>
    </w:p>
    <w:p w14:paraId="47E106D3" w14:textId="77777777" w:rsidR="00D31E3E" w:rsidRPr="00D31E3E" w:rsidRDefault="00D31E3E" w:rsidP="00823F0C">
      <w:pPr>
        <w:rPr>
          <w:b/>
          <w:bCs/>
          <w:color w:val="FF6E00"/>
          <w:lang w:val="en-PH"/>
        </w:rPr>
      </w:pPr>
      <w:r w:rsidRPr="00D31E3E">
        <w:rPr>
          <w:b/>
          <w:bCs/>
          <w:color w:val="FF6E00"/>
          <w:lang w:val="en-PH"/>
        </w:rPr>
        <w:t>US CFTC Hosts Events During World Investor Week to Highlight Fraud Protection and Relationship Scams</w:t>
      </w:r>
    </w:p>
    <w:p w14:paraId="73DCC688" w14:textId="77777777" w:rsidR="00D31E3E" w:rsidRPr="00D31E3E" w:rsidRDefault="00D31E3E" w:rsidP="00D31E3E">
      <w:pPr>
        <w:jc w:val="both"/>
        <w:rPr>
          <w:rFonts w:eastAsia="Times New Roman"/>
          <w:bCs/>
          <w:lang w:val="en-PH"/>
        </w:rPr>
      </w:pPr>
      <w:r w:rsidRPr="00D31E3E">
        <w:rPr>
          <w:rFonts w:eastAsia="Times New Roman"/>
          <w:bCs/>
          <w:lang w:val="en-PH"/>
        </w:rPr>
        <w:t>On 4 October 2024, the United States’ Commodity Futures Trading Commission (</w:t>
      </w:r>
      <w:r w:rsidRPr="00D31E3E">
        <w:rPr>
          <w:rFonts w:eastAsia="Times New Roman"/>
          <w:b/>
          <w:bCs/>
          <w:lang w:val="en-PH"/>
        </w:rPr>
        <w:t>CFTC</w:t>
      </w:r>
      <w:r w:rsidRPr="00D31E3E">
        <w:rPr>
          <w:rFonts w:eastAsia="Times New Roman"/>
          <w:bCs/>
          <w:lang w:val="en-PH"/>
        </w:rPr>
        <w:t>), through its Office of Customer Education and Outreach (</w:t>
      </w:r>
      <w:r w:rsidRPr="00D31E3E">
        <w:rPr>
          <w:rFonts w:eastAsia="Times New Roman"/>
          <w:b/>
          <w:bCs/>
          <w:lang w:val="en-PH"/>
        </w:rPr>
        <w:t>OCEO</w:t>
      </w:r>
      <w:r w:rsidRPr="00D31E3E">
        <w:rPr>
          <w:rFonts w:eastAsia="Times New Roman"/>
          <w:bCs/>
          <w:lang w:val="en-PH"/>
        </w:rPr>
        <w:t>), announced two upcoming events in observance of World Investor Week. These events are scheduled for 8 October 2024 and 9 October 2024 which aim to educate and spread awareness with the public on critical issues related to fraud protection, with a focus on emerging scams involving digital assets like cryptocurrency.</w:t>
      </w:r>
    </w:p>
    <w:p w14:paraId="77B94C9C" w14:textId="77777777" w:rsidR="00D31E3E" w:rsidRPr="00D31E3E" w:rsidRDefault="00D31E3E" w:rsidP="00D31E3E">
      <w:pPr>
        <w:jc w:val="both"/>
        <w:rPr>
          <w:rFonts w:eastAsia="Times New Roman"/>
          <w:bCs/>
          <w:lang w:val="en-PH"/>
        </w:rPr>
      </w:pPr>
      <w:r w:rsidRPr="00D31E3E">
        <w:rPr>
          <w:rFonts w:eastAsia="Times New Roman"/>
          <w:bCs/>
          <w:lang w:val="en-PH"/>
        </w:rPr>
        <w:t>World Investor Week is an international initiative organized by the International Organization of Securities Commissions (</w:t>
      </w:r>
      <w:r w:rsidRPr="00D31E3E">
        <w:rPr>
          <w:rFonts w:eastAsia="Times New Roman"/>
          <w:b/>
          <w:lang w:val="en-PH"/>
        </w:rPr>
        <w:t>IOSCO</w:t>
      </w:r>
      <w:r w:rsidRPr="00D31E3E">
        <w:rPr>
          <w:rFonts w:eastAsia="Times New Roman"/>
          <w:bCs/>
          <w:lang w:val="en-PH"/>
        </w:rPr>
        <w:t>) to raise awareness about the importance of investor education and protection. From October 7 to 13, organizations from over 100 jurisdictions will come together to highlight pressing issues in investment, particularly around digital and technological advancements, crypto assets, and sustainable finance.</w:t>
      </w:r>
    </w:p>
    <w:p w14:paraId="1ABCEA98" w14:textId="77777777" w:rsidR="00D31E3E" w:rsidRPr="00D31E3E" w:rsidRDefault="00D31E3E" w:rsidP="00D31E3E">
      <w:pPr>
        <w:jc w:val="both"/>
        <w:rPr>
          <w:rFonts w:eastAsia="Times New Roman"/>
          <w:bCs/>
          <w:lang w:val="en-PH"/>
        </w:rPr>
      </w:pPr>
      <w:r w:rsidRPr="00D31E3E">
        <w:rPr>
          <w:rFonts w:eastAsia="Times New Roman"/>
          <w:bCs/>
          <w:lang w:val="en-PH"/>
        </w:rPr>
        <w:t>With the rapid growth of digital and crypto assets, fraudulent schemes have evolved, increasingly targeting unsuspecting individuals. A concerning trend is the rise of relationship investment confidence scams, often called romance investment fraud. These scams involve fraudsters building fake relationships with victims and persuading them to invest in fraudulent crypto schemes, ultimately stealing vast sums of money. Some of these scams have been traced back to organized crime syndicates abroad and have been linked to broader illegal activities such as human trafficking and money laundering.</w:t>
      </w:r>
    </w:p>
    <w:p w14:paraId="5C808EAD" w14:textId="77777777" w:rsidR="00D31E3E" w:rsidRPr="00D31E3E" w:rsidRDefault="00D31E3E" w:rsidP="00D31E3E">
      <w:pPr>
        <w:jc w:val="both"/>
        <w:rPr>
          <w:rFonts w:eastAsia="Times New Roman"/>
          <w:bCs/>
          <w:lang w:val="en-PH"/>
        </w:rPr>
      </w:pPr>
      <w:r w:rsidRPr="00D31E3E">
        <w:rPr>
          <w:rFonts w:eastAsia="Times New Roman"/>
          <w:bCs/>
          <w:lang w:val="en-PH"/>
        </w:rPr>
        <w:t xml:space="preserve">The first event, titled Romance Investment Fraud: A Global-Scale Crypto Scam, will take place on 8 October 2024, from 12:30 p.m. to 1:30 p.m. EDT. This hybrid event will feature Dr. John Griffin, James A. Elkins Centennial Chair in Finance at the University of Texas, who will present his research, How Do Crypto Flows Finance Slavery? The Economics of Pig Butchering. The term “pig butchering” refers to a scam where victims are “fattened up” with false promises of big investment returns, only to have all their assets stolen. </w:t>
      </w:r>
      <w:r w:rsidRPr="00D31E3E">
        <w:rPr>
          <w:rFonts w:eastAsia="Times New Roman"/>
          <w:bCs/>
          <w:lang w:val="en-PH"/>
        </w:rPr>
        <w:lastRenderedPageBreak/>
        <w:t>The event will include a panel of federal regulators, discussing the scale of the problem, how to recognize the warning signs of these scams, and how to spread awareness to prevent further victims.</w:t>
      </w:r>
    </w:p>
    <w:p w14:paraId="4AEE6B4C" w14:textId="77777777" w:rsidR="00D31E3E" w:rsidRPr="00D31E3E" w:rsidRDefault="00D31E3E" w:rsidP="00D31E3E">
      <w:pPr>
        <w:jc w:val="both"/>
        <w:rPr>
          <w:rFonts w:eastAsia="Times New Roman"/>
          <w:bCs/>
          <w:lang w:val="en-PH"/>
        </w:rPr>
      </w:pPr>
      <w:r w:rsidRPr="00D31E3E">
        <w:rPr>
          <w:rFonts w:eastAsia="Times New Roman"/>
          <w:bCs/>
          <w:lang w:val="en-PH"/>
        </w:rPr>
        <w:t>Registration for this event is free and open to the public, with in-person attendance options in Washington, D.C. and Austin, Texas, as well as virtual participation.</w:t>
      </w:r>
    </w:p>
    <w:p w14:paraId="37972464" w14:textId="77777777" w:rsidR="00D31E3E" w:rsidRPr="00D31E3E" w:rsidRDefault="00D31E3E" w:rsidP="00D31E3E">
      <w:pPr>
        <w:jc w:val="both"/>
        <w:rPr>
          <w:rFonts w:eastAsia="Times New Roman"/>
          <w:bCs/>
          <w:lang w:val="en-PH"/>
        </w:rPr>
      </w:pPr>
      <w:r w:rsidRPr="00D31E3E">
        <w:rPr>
          <w:rFonts w:eastAsia="Times New Roman"/>
          <w:bCs/>
          <w:lang w:val="en-PH"/>
        </w:rPr>
        <w:t>On October 9, 2024, at 2:00 p.m. EDT, the US CFTC will co-host a second event, a webinar titled Protect Yourself: NFA and CFTC Resources, alongside the National Futures Association (</w:t>
      </w:r>
      <w:r w:rsidRPr="00D31E3E">
        <w:rPr>
          <w:rFonts w:eastAsia="Times New Roman"/>
          <w:b/>
          <w:bCs/>
          <w:lang w:val="en-PH"/>
        </w:rPr>
        <w:t>NFA</w:t>
      </w:r>
      <w:r w:rsidRPr="00D31E3E">
        <w:rPr>
          <w:rFonts w:eastAsia="Times New Roman"/>
          <w:bCs/>
          <w:lang w:val="en-PH"/>
        </w:rPr>
        <w:t>), the self-regulatory organization for the U.S. derivatives industry. This webinar will educate participants on practical tools and resources available to protect themselves from fraud. Both events are designed to empower the public with information about how to avoid falling prey to fraudsters and how to identify high-risk individuals or schemes in the digital investment landscape.</w:t>
      </w:r>
    </w:p>
    <w:p w14:paraId="3C5BEBBE" w14:textId="77777777" w:rsidR="00D31E3E" w:rsidRPr="00D31E3E" w:rsidRDefault="00D31E3E" w:rsidP="00823F0C">
      <w:pPr>
        <w:rPr>
          <w:rFonts w:eastAsia="Times New Roman"/>
          <w:bCs/>
          <w:lang w:val="en-PH"/>
        </w:rPr>
      </w:pPr>
      <w:r w:rsidRPr="00D31E3E">
        <w:rPr>
          <w:rFonts w:eastAsia="Times New Roman"/>
          <w:bCs/>
          <w:lang w:val="en-PH"/>
        </w:rPr>
        <w:t>(Source: </w:t>
      </w:r>
      <w:hyperlink r:id="rId16" w:tgtFrame="_blank" w:history="1">
        <w:r w:rsidRPr="00D31E3E">
          <w:rPr>
            <w:rStyle w:val="Hyperlink"/>
            <w:rFonts w:eastAsia="Times New Roman"/>
            <w:bCs/>
            <w:color w:val="FF6E00"/>
            <w:lang w:val="en-PH"/>
          </w:rPr>
          <w:t>https://www.cftc.gov/PressRoom/PressReleases/8996-24</w:t>
        </w:r>
      </w:hyperlink>
      <w:r w:rsidRPr="00D31E3E">
        <w:rPr>
          <w:rFonts w:eastAsia="Times New Roman"/>
          <w:bCs/>
          <w:lang w:val="en-PH"/>
        </w:rPr>
        <w:t>)</w:t>
      </w:r>
    </w:p>
    <w:p w14:paraId="09CA49B3" w14:textId="77777777" w:rsidR="00372AF8" w:rsidRDefault="00372AF8" w:rsidP="00F155B0">
      <w:pPr>
        <w:jc w:val="both"/>
        <w:rPr>
          <w:rFonts w:eastAsia="Times New Roman"/>
          <w:bCs/>
        </w:rPr>
      </w:pPr>
    </w:p>
    <w:p w14:paraId="611CF6B2" w14:textId="77777777" w:rsidR="00661EE8" w:rsidRPr="00661EE8" w:rsidRDefault="00661EE8" w:rsidP="00823F0C">
      <w:pPr>
        <w:rPr>
          <w:b/>
          <w:bCs/>
          <w:color w:val="FF6E00"/>
          <w:lang w:val="en-PH"/>
        </w:rPr>
      </w:pPr>
      <w:r w:rsidRPr="00661EE8">
        <w:rPr>
          <w:b/>
          <w:bCs/>
          <w:color w:val="FF6E00"/>
          <w:lang w:val="en-PH"/>
        </w:rPr>
        <w:t>Monetary Authority of Singapore Issues Consultation Paper on Regulatory Approach for Digital Token Service Providers</w:t>
      </w:r>
    </w:p>
    <w:p w14:paraId="68533FD3" w14:textId="7E85AFA1" w:rsidR="00661EE8" w:rsidRPr="00661EE8" w:rsidRDefault="00661EE8" w:rsidP="00661EE8">
      <w:pPr>
        <w:jc w:val="both"/>
        <w:rPr>
          <w:rFonts w:eastAsia="Times New Roman"/>
          <w:bCs/>
          <w:lang w:val="en-PH"/>
        </w:rPr>
      </w:pPr>
      <w:r w:rsidRPr="00661EE8">
        <w:rPr>
          <w:rFonts w:eastAsia="Times New Roman"/>
          <w:bCs/>
          <w:lang w:val="en-PH"/>
        </w:rPr>
        <w:t>On 4 October 2024, the Monetary Authority of Singapore (</w:t>
      </w:r>
      <w:r w:rsidRPr="00661EE8">
        <w:rPr>
          <w:rFonts w:eastAsia="Times New Roman"/>
          <w:b/>
          <w:bCs/>
          <w:lang w:val="en-PH"/>
        </w:rPr>
        <w:t>MAS</w:t>
      </w:r>
      <w:r w:rsidRPr="00661EE8">
        <w:rPr>
          <w:rFonts w:eastAsia="Times New Roman"/>
          <w:bCs/>
          <w:lang w:val="en-PH"/>
        </w:rPr>
        <w:t xml:space="preserve">) publishes a </w:t>
      </w:r>
      <w:hyperlink r:id="rId17" w:history="1">
        <w:r w:rsidRPr="00A309A8">
          <w:rPr>
            <w:rStyle w:val="Hyperlink"/>
            <w:rFonts w:eastAsia="Times New Roman"/>
            <w:bCs/>
            <w:color w:val="FF6E00"/>
            <w:u w:val="none"/>
            <w:lang w:val="en-PH"/>
          </w:rPr>
          <w:t>Consultation Paper</w:t>
        </w:r>
      </w:hyperlink>
      <w:r w:rsidRPr="00661EE8">
        <w:rPr>
          <w:rFonts w:eastAsia="Times New Roman"/>
          <w:bCs/>
          <w:lang w:val="en-PH"/>
        </w:rPr>
        <w:t xml:space="preserve"> on Proposed Regulatory Approach, Regulations and Notices for Digital Token Service Providers issued under the </w:t>
      </w:r>
      <w:r w:rsidRPr="00A309A8">
        <w:rPr>
          <w:rFonts w:eastAsia="Times New Roman"/>
          <w:bCs/>
          <w:lang w:val="en-PH"/>
        </w:rPr>
        <w:t>Financial Services and Markets Act 2022</w:t>
      </w:r>
      <w:r w:rsidRPr="00661EE8">
        <w:rPr>
          <w:rFonts w:eastAsia="Times New Roman"/>
          <w:bCs/>
          <w:lang w:val="en-PH"/>
        </w:rPr>
        <w:t> outlining the proposed regulatory framework for Digital Token Service Providers (</w:t>
      </w:r>
      <w:r w:rsidRPr="00661EE8">
        <w:rPr>
          <w:rFonts w:eastAsia="Times New Roman"/>
          <w:b/>
          <w:bCs/>
          <w:lang w:val="en-PH"/>
        </w:rPr>
        <w:t>DTSPs</w:t>
      </w:r>
      <w:r w:rsidRPr="00661EE8">
        <w:rPr>
          <w:rFonts w:eastAsia="Times New Roman"/>
          <w:bCs/>
          <w:lang w:val="en-PH"/>
        </w:rPr>
        <w:t>). This new consultation paper is issued under the Singapore’s Financial Services and Markets Act 2022 (</w:t>
      </w:r>
      <w:r w:rsidRPr="00661EE8">
        <w:rPr>
          <w:rFonts w:eastAsia="Times New Roman"/>
          <w:b/>
          <w:bCs/>
          <w:lang w:val="en-PH"/>
        </w:rPr>
        <w:t>FSM Act</w:t>
      </w:r>
      <w:r w:rsidRPr="00661EE8">
        <w:rPr>
          <w:rFonts w:eastAsia="Times New Roman"/>
          <w:bCs/>
          <w:lang w:val="en-PH"/>
        </w:rPr>
        <w:t>) which aims to ensure proper regulation of DTSPs providing services from or within the Singapore to customers inside and outside the country. The public is invited to provide feedback on these proposals, with submissions open until 4 November 2024.</w:t>
      </w:r>
    </w:p>
    <w:p w14:paraId="5CC46BE6" w14:textId="77777777" w:rsidR="00661EE8" w:rsidRPr="00661EE8" w:rsidRDefault="00661EE8" w:rsidP="00661EE8">
      <w:pPr>
        <w:jc w:val="both"/>
        <w:rPr>
          <w:rFonts w:eastAsia="Times New Roman"/>
          <w:bCs/>
          <w:lang w:val="en-PH"/>
        </w:rPr>
      </w:pPr>
      <w:r w:rsidRPr="00661EE8">
        <w:rPr>
          <w:rFonts w:eastAsia="Times New Roman"/>
          <w:bCs/>
          <w:lang w:val="en-PH"/>
        </w:rPr>
        <w:t>The consultation paper introduces amendments to regulate the activities of DTSPs focusing on their operations abroad to prevent risks related to money laundering and terrorism financing, which are heightened in cross-border digital services. The consultation paper mandates the DTSPs to apply for a license under the FSM Act, even when they do not serve customers within Singapore so that DTSPs maintain high standards of compliance and do not harm Singapore’s financial reputation.</w:t>
      </w:r>
    </w:p>
    <w:p w14:paraId="766C461F" w14:textId="77777777" w:rsidR="00661EE8" w:rsidRPr="00661EE8" w:rsidRDefault="00661EE8" w:rsidP="00661EE8">
      <w:pPr>
        <w:jc w:val="both"/>
        <w:rPr>
          <w:rFonts w:eastAsia="Times New Roman"/>
          <w:bCs/>
          <w:lang w:val="en-PH"/>
        </w:rPr>
      </w:pPr>
      <w:r w:rsidRPr="00661EE8">
        <w:rPr>
          <w:rFonts w:eastAsia="Times New Roman"/>
          <w:bCs/>
          <w:lang w:val="en-PH"/>
        </w:rPr>
        <w:t>Digital token services are defined in the FSM Act as any activity related to the transfer, storage, or trading of digital tokens. Digital tokens refer to either digital payment tokens, such as cryptocurrencies, or digital representations of capital markets products, as outlined in existing legislation. The consultation paper proposes provisions for DTSPs to comply with regulations that prevent the misuse of these digital assets for illegal purposes, including money laundering and terrorism financing. Previously, companies providing digital token services from Singapore to international customers were not subject to the same level of regulatory scrutiny as domestic services. With the proposed changes, all DTSPs, even those whose services are offered outside Singapore, must apply for a license under the FSM Act.</w:t>
      </w:r>
    </w:p>
    <w:p w14:paraId="32CAFEDC" w14:textId="77777777" w:rsidR="00661EE8" w:rsidRPr="00661EE8" w:rsidRDefault="00661EE8" w:rsidP="00661EE8">
      <w:pPr>
        <w:jc w:val="both"/>
        <w:rPr>
          <w:rFonts w:eastAsia="Times New Roman"/>
          <w:bCs/>
          <w:lang w:val="en-PH"/>
        </w:rPr>
      </w:pPr>
      <w:r w:rsidRPr="00661EE8">
        <w:rPr>
          <w:rFonts w:eastAsia="Times New Roman"/>
          <w:bCs/>
          <w:lang w:val="en-PH"/>
        </w:rPr>
        <w:t xml:space="preserve">The application process involves demonstrating that the business model is economically viable and complies with international regulatory standards. DTSPs must appoint an executive director who is a resident in Singapore, to ensure local accountability and oversight. They are also required to maintain a permanent place of business within the country. MAS review applications on a case-by-case basis. Digital Token Service Providers are subject to licensing and ongoing requirements under the Singapore’s Payment </w:t>
      </w:r>
      <w:r w:rsidRPr="00661EE8">
        <w:rPr>
          <w:rFonts w:eastAsia="Times New Roman"/>
          <w:bCs/>
          <w:lang w:val="en-PH"/>
        </w:rPr>
        <w:lastRenderedPageBreak/>
        <w:t>Services Act 2019 (</w:t>
      </w:r>
      <w:r w:rsidRPr="00661EE8">
        <w:rPr>
          <w:rFonts w:eastAsia="Times New Roman"/>
          <w:b/>
          <w:bCs/>
          <w:lang w:val="en-PH"/>
        </w:rPr>
        <w:t>PS Act</w:t>
      </w:r>
      <w:r w:rsidRPr="00661EE8">
        <w:rPr>
          <w:rFonts w:eastAsia="Times New Roman"/>
          <w:bCs/>
          <w:lang w:val="en-PH"/>
        </w:rPr>
        <w:t>), Singapore’s Securities and Futures Act 2001 (</w:t>
      </w:r>
      <w:r w:rsidRPr="00661EE8">
        <w:rPr>
          <w:rFonts w:eastAsia="Times New Roman"/>
          <w:b/>
          <w:bCs/>
          <w:lang w:val="en-PH"/>
        </w:rPr>
        <w:t>SFA</w:t>
      </w:r>
      <w:r w:rsidRPr="00661EE8">
        <w:rPr>
          <w:rFonts w:eastAsia="Times New Roman"/>
          <w:bCs/>
          <w:lang w:val="en-PH"/>
        </w:rPr>
        <w:t>), and/or Singapore’s Financial Advisor Act 2001 (</w:t>
      </w:r>
      <w:r w:rsidRPr="00661EE8">
        <w:rPr>
          <w:rFonts w:eastAsia="Times New Roman"/>
          <w:b/>
          <w:bCs/>
          <w:lang w:val="en-PH"/>
        </w:rPr>
        <w:t>FAA</w:t>
      </w:r>
      <w:r w:rsidRPr="00661EE8">
        <w:rPr>
          <w:rFonts w:eastAsia="Times New Roman"/>
          <w:bCs/>
          <w:lang w:val="en-PH"/>
        </w:rPr>
        <w:t>).</w:t>
      </w:r>
    </w:p>
    <w:p w14:paraId="30A01178" w14:textId="77777777" w:rsidR="00661EE8" w:rsidRPr="00661EE8" w:rsidRDefault="00661EE8" w:rsidP="00661EE8">
      <w:pPr>
        <w:jc w:val="both"/>
        <w:rPr>
          <w:rFonts w:eastAsia="Times New Roman"/>
          <w:bCs/>
          <w:lang w:val="en-PH"/>
        </w:rPr>
      </w:pPr>
      <w:r w:rsidRPr="00661EE8">
        <w:rPr>
          <w:rFonts w:eastAsia="Times New Roman"/>
          <w:bCs/>
          <w:lang w:val="en-PH"/>
        </w:rPr>
        <w:t>After receiving a license, DTSPs will need to meet ongoing regulatory requirements which includes the obligation to inform MAS of any significant changes in their business operations or model. MAS proposes that DTSPs be subjected to regular audits and be required to maintain comprehensive compliance frameworks including the appointment of compliance officers who must be suitably qualified to oversee the company’s adherence to regulations.</w:t>
      </w:r>
    </w:p>
    <w:p w14:paraId="07CAF061" w14:textId="77777777" w:rsidR="00661EE8" w:rsidRPr="00661EE8" w:rsidRDefault="00661EE8" w:rsidP="00661EE8">
      <w:pPr>
        <w:jc w:val="both"/>
        <w:rPr>
          <w:rFonts w:eastAsia="Times New Roman"/>
          <w:bCs/>
          <w:lang w:val="en-PH"/>
        </w:rPr>
      </w:pPr>
      <w:r w:rsidRPr="00661EE8">
        <w:rPr>
          <w:rFonts w:eastAsia="Times New Roman"/>
          <w:bCs/>
          <w:lang w:val="en-PH"/>
        </w:rPr>
        <w:t>DTSPs must implement proper governance structures to ensure that their operations are continually aligned with MAS’s standards. DTSPs will be required to conduct thorough due diligence on their customers, including performing background checks and verifying the identity of both new and existing clients. In cases where DTSPs identify higher risks, such as transactions involving certain jurisdictions or anonymous customers, enhanced due diligence measures must be applied. MAS will require DTSPs to provide regular updates on any significant changes to their operations or business models. MAS proposes further amendments to the Financial Services and Markets Notices, including updates to the guidelines on reporting requirements, technology risk management, and cyber hygiene for DTSPs.</w:t>
      </w:r>
    </w:p>
    <w:p w14:paraId="0F746D2B" w14:textId="77777777" w:rsidR="00661EE8" w:rsidRPr="00661EE8" w:rsidRDefault="00661EE8" w:rsidP="00823F0C">
      <w:pPr>
        <w:rPr>
          <w:rFonts w:eastAsia="Times New Roman"/>
          <w:bCs/>
          <w:lang w:val="en-PH"/>
        </w:rPr>
      </w:pPr>
      <w:r w:rsidRPr="00661EE8">
        <w:rPr>
          <w:rFonts w:eastAsia="Times New Roman"/>
          <w:bCs/>
          <w:lang w:val="en-PH"/>
        </w:rPr>
        <w:t>(Source: </w:t>
      </w:r>
      <w:hyperlink r:id="rId18" w:tgtFrame="_blank" w:history="1">
        <w:r w:rsidRPr="00661EE8">
          <w:rPr>
            <w:rStyle w:val="Hyperlink"/>
            <w:rFonts w:eastAsia="Times New Roman"/>
            <w:bCs/>
            <w:color w:val="FF6E00"/>
            <w:lang w:val="en-PH"/>
          </w:rPr>
          <w:t>https://www.mas.gov.sg/-/media/mas-media-library/publications/consultations/amld/2024/dtsp-consultation—final-for-publication.pdf</w:t>
        </w:r>
      </w:hyperlink>
      <w:r w:rsidRPr="00661EE8">
        <w:rPr>
          <w:rFonts w:eastAsia="Times New Roman"/>
          <w:bCs/>
          <w:lang w:val="en-PH"/>
        </w:rPr>
        <w:t>)</w:t>
      </w:r>
    </w:p>
    <w:p w14:paraId="3504736D" w14:textId="77777777" w:rsidR="00372AF8" w:rsidRDefault="00372AF8" w:rsidP="00F155B0">
      <w:pPr>
        <w:jc w:val="both"/>
        <w:rPr>
          <w:rFonts w:eastAsia="Times New Roman"/>
          <w:bCs/>
        </w:rPr>
      </w:pPr>
    </w:p>
    <w:p w14:paraId="604C88C1" w14:textId="77777777" w:rsidR="00782197" w:rsidRPr="00782197" w:rsidRDefault="00782197" w:rsidP="00823F0C">
      <w:pPr>
        <w:rPr>
          <w:b/>
          <w:bCs/>
          <w:color w:val="FF6E00"/>
          <w:lang w:val="en-PH"/>
        </w:rPr>
      </w:pPr>
      <w:r w:rsidRPr="00782197">
        <w:rPr>
          <w:b/>
          <w:bCs/>
          <w:color w:val="FF6E00"/>
          <w:lang w:val="en-PH"/>
        </w:rPr>
        <w:t>US SEC Files Market Manipulation Lawsuit Against CLS Global FZC LLC and Andrey Zhorzhes</w:t>
      </w:r>
    </w:p>
    <w:p w14:paraId="4BA02810" w14:textId="77777777" w:rsidR="00782197" w:rsidRPr="00782197" w:rsidRDefault="00782197" w:rsidP="00782197">
      <w:pPr>
        <w:jc w:val="both"/>
        <w:rPr>
          <w:rFonts w:eastAsia="Times New Roman"/>
          <w:bCs/>
          <w:lang w:val="en-PH"/>
        </w:rPr>
      </w:pPr>
      <w:r w:rsidRPr="00782197">
        <w:rPr>
          <w:rFonts w:eastAsia="Times New Roman"/>
          <w:bCs/>
          <w:lang w:val="en-PH"/>
        </w:rPr>
        <w:t>On October 9, 2024, the United States’ Securities and Exchange Commission (</w:t>
      </w:r>
      <w:r w:rsidRPr="00782197">
        <w:rPr>
          <w:rFonts w:eastAsia="Times New Roman"/>
          <w:b/>
          <w:bCs/>
          <w:lang w:val="en-PH"/>
        </w:rPr>
        <w:t>US SEC</w:t>
      </w:r>
      <w:r w:rsidRPr="00782197">
        <w:rPr>
          <w:rFonts w:eastAsia="Times New Roman"/>
          <w:bCs/>
          <w:lang w:val="en-PH"/>
        </w:rPr>
        <w:t>) filed a </w:t>
      </w:r>
      <w:hyperlink r:id="rId19" w:tgtFrame="_blank" w:history="1">
        <w:r w:rsidRPr="00782197">
          <w:rPr>
            <w:rStyle w:val="Hyperlink"/>
            <w:rFonts w:eastAsia="Times New Roman"/>
            <w:bCs/>
            <w:color w:val="FF6E00"/>
            <w:u w:val="none"/>
            <w:lang w:val="en-PH"/>
          </w:rPr>
          <w:t>complaint</w:t>
        </w:r>
      </w:hyperlink>
      <w:r w:rsidRPr="00782197">
        <w:rPr>
          <w:rFonts w:eastAsia="Times New Roman"/>
          <w:bCs/>
          <w:lang w:val="en-PH"/>
        </w:rPr>
        <w:t> against CLS Global FZC LLC and Andrey Zhorzhes, in the United States District Court for the District of Massachusetts, alleging a complex market manipulation scheme involving cryptocurrency assets. The SEC claims that CLS Global, which presents itself as a “market maker” for crypto assets, was, in fact, engaging in deceptive practices designed to artificially inflate the trading volume and prices of its clients’ crypto assets, thereby misleading investors. Central to this case is the allegation that between August 23, 2024, and September 18, 2024, CLS Global conducted manipulative trades on the Uniswap platform, generating $595,000 in artificial trading volume for a crypto asset known as NexFundAI, which accounted for 98% of the total trading activity during that period.</w:t>
      </w:r>
    </w:p>
    <w:p w14:paraId="5A2DD729" w14:textId="77777777" w:rsidR="00782197" w:rsidRPr="00782197" w:rsidRDefault="00782197" w:rsidP="00782197">
      <w:pPr>
        <w:jc w:val="both"/>
        <w:rPr>
          <w:rFonts w:eastAsia="Times New Roman"/>
          <w:bCs/>
          <w:lang w:val="en-PH"/>
        </w:rPr>
      </w:pPr>
      <w:r w:rsidRPr="00782197">
        <w:rPr>
          <w:rFonts w:eastAsia="Times New Roman"/>
          <w:bCs/>
          <w:lang w:val="en-PH"/>
        </w:rPr>
        <w:t>The lawsuit details how CLS Global advertised its services as offering advanced trading algorithms and market-making expertise to increase visibility and interest in its clients’ assets. However, according to the SEC, what CLS Global provided was not market-making in the traditional sense but rather manipulative trading practices. These activities, including wash trading, created a false appearance of market demand for the crypto assets, tricking potential investors into believing there was significant organic interest in those tokens. Such deceptive volume inflation is crucial for new or thinly traded crypto assets to meet listing requirements on major trading platforms and to attract real investors.</w:t>
      </w:r>
    </w:p>
    <w:p w14:paraId="2BA42892" w14:textId="77777777" w:rsidR="00782197" w:rsidRPr="00782197" w:rsidRDefault="00782197" w:rsidP="00782197">
      <w:pPr>
        <w:jc w:val="both"/>
        <w:rPr>
          <w:rFonts w:eastAsia="Times New Roman"/>
          <w:bCs/>
          <w:lang w:val="en-PH"/>
        </w:rPr>
      </w:pPr>
      <w:r w:rsidRPr="00782197">
        <w:rPr>
          <w:rFonts w:eastAsia="Times New Roman"/>
          <w:bCs/>
          <w:lang w:val="en-PH"/>
        </w:rPr>
        <w:t xml:space="preserve">The CLS Global’s participation in an FBI sting operation, where the agency created a fake cryptocurrency project called NexFundAI to catch bad actors in the crypto industry. The FBI had created NexFundAI as a false token using Ethereum’s ERC-20 standard and marketed it as a crypto asset that offered investment in AI projects. To further entrap CLS Global, they publicly promoted NexFundAI as an investment opportunity, fully intending to monitor how market manipulators like CLS Global would exploit it. </w:t>
      </w:r>
      <w:r w:rsidRPr="00782197">
        <w:rPr>
          <w:rFonts w:eastAsia="Times New Roman"/>
          <w:bCs/>
          <w:lang w:val="en-PH"/>
        </w:rPr>
        <w:lastRenderedPageBreak/>
        <w:t>Zhorzhes, unaware of the FBI’s involvement, negotiated a deal with the purported promoters of NexFundAI to inflate its trading volume. Under this agreement, CLS Global would generate false trading activity for NexFundAI in exchange for a monthly fee of $4,000 paid in Tether. Between August 23 and September 18, 2024, CLS Global used 30 wallets to conduct 740 transactions, generating nearly $600,000 in fake trading volume for NexFundAI, accounting for 98% of the total activity in that period. Believing NexFundAI to be a legitimate project, Zhorzhes and CLS Global entered discussions with individuals they thought were crypto promoters. These individuals, however, were undercover FBI agents, who deliberately orchestrated the scenario to uncover manipulation schemes. This was to be achieved through wash trading i.e. CLS Global’s practice of trading the asset with itself to simulate active market participation and attract real investors.</w:t>
      </w:r>
    </w:p>
    <w:p w14:paraId="53B5395C" w14:textId="77777777" w:rsidR="00782197" w:rsidRPr="00782197" w:rsidRDefault="00782197" w:rsidP="00782197">
      <w:pPr>
        <w:jc w:val="both"/>
        <w:rPr>
          <w:rFonts w:eastAsia="Times New Roman"/>
          <w:bCs/>
          <w:lang w:val="en-PH"/>
        </w:rPr>
      </w:pPr>
      <w:r w:rsidRPr="00782197">
        <w:rPr>
          <w:rFonts w:eastAsia="Times New Roman"/>
          <w:bCs/>
          <w:lang w:val="en-PH"/>
        </w:rPr>
        <w:t>The undercover FBI operation exposed how market makers like CLS Global deceive the public, falsely inflating the value of crypto assets and enticing real investors into purchasing what they believe to be high-demand tokens. By revealing these tactics through their sting operation, the SEC and FBI aim to clamp down on the widespread market manipulation practices plaguing the cryptocurrency industry.</w:t>
      </w:r>
    </w:p>
    <w:p w14:paraId="6A6673D5" w14:textId="77777777" w:rsidR="00782197" w:rsidRPr="00782197" w:rsidRDefault="00782197" w:rsidP="00782197">
      <w:pPr>
        <w:jc w:val="both"/>
        <w:rPr>
          <w:rFonts w:eastAsia="Times New Roman"/>
          <w:bCs/>
          <w:lang w:val="en-PH"/>
        </w:rPr>
      </w:pPr>
      <w:r w:rsidRPr="00782197">
        <w:rPr>
          <w:rFonts w:eastAsia="Times New Roman"/>
          <w:bCs/>
          <w:lang w:val="en-PH"/>
        </w:rPr>
        <w:t>The SEC alleges that this conduct violated several key provisions of U.S. securities laws, including Sections 17(a)(1) and (3) of the United States Securities Act of 1933 and Sections 9(a)(2) and 10(b) of the United States Securities Exchange Act of 1934, as well as Rule 10b-5 under the Exchange Act. These provisions prohibit fraudulent schemes in the offer, purchase, or sale of securities and bar market manipulation practices like wash trading. The SEC seeks permanent injunctions to prevent further violations, disgorgement of all ill-gotten gains, civil penalties, and an order prohibiting the defendants from participating in any securities transactions, except for Zhorzhes’ personal accounts.</w:t>
      </w:r>
    </w:p>
    <w:p w14:paraId="7776A46B" w14:textId="77777777" w:rsidR="00782197" w:rsidRPr="00782197" w:rsidRDefault="00782197" w:rsidP="00782197">
      <w:pPr>
        <w:jc w:val="both"/>
        <w:rPr>
          <w:rFonts w:eastAsia="Times New Roman"/>
          <w:bCs/>
          <w:lang w:val="en-PH"/>
        </w:rPr>
      </w:pPr>
      <w:r w:rsidRPr="00782197">
        <w:rPr>
          <w:rFonts w:eastAsia="Times New Roman"/>
          <w:bCs/>
          <w:lang w:val="en-PH"/>
        </w:rPr>
        <w:t>Jorge G. Tenreiro, Acting Chief of the Division of Enforcement’s Crypto Asset and Cyber Unit (</w:t>
      </w:r>
      <w:r w:rsidRPr="00782197">
        <w:rPr>
          <w:rFonts w:eastAsia="Times New Roman"/>
          <w:b/>
          <w:bCs/>
          <w:lang w:val="en-PH"/>
        </w:rPr>
        <w:t>CACU</w:t>
      </w:r>
      <w:r w:rsidRPr="00782197">
        <w:rPr>
          <w:rFonts w:eastAsia="Times New Roman"/>
          <w:bCs/>
          <w:lang w:val="en-PH"/>
        </w:rPr>
        <w:t>) stated: “We remain concerned about the ease with which the market for a crypto asset can be manipulated and are committed to rooting out instances of such misconduct when it involves securities. The wrongdoers behind these schemes are profiting handsomely at the expense of investors that have been deceptively lured into these markets and lost their hard-earned savings.”</w:t>
      </w:r>
    </w:p>
    <w:p w14:paraId="1D8E883F" w14:textId="77777777" w:rsidR="00782197" w:rsidRPr="00782197" w:rsidRDefault="00782197" w:rsidP="00823F0C">
      <w:pPr>
        <w:rPr>
          <w:rFonts w:eastAsia="Times New Roman"/>
          <w:bCs/>
          <w:lang w:val="en-PH"/>
        </w:rPr>
      </w:pPr>
      <w:r w:rsidRPr="00782197">
        <w:rPr>
          <w:rFonts w:eastAsia="Times New Roman"/>
          <w:bCs/>
          <w:lang w:val="en-PH"/>
        </w:rPr>
        <w:t>(Source: </w:t>
      </w:r>
      <w:hyperlink r:id="rId20" w:tgtFrame="_blank" w:history="1">
        <w:r w:rsidRPr="00782197">
          <w:rPr>
            <w:rStyle w:val="Hyperlink"/>
            <w:rFonts w:eastAsia="Times New Roman"/>
            <w:bCs/>
            <w:color w:val="FF6E00"/>
            <w:lang w:val="en-PH"/>
          </w:rPr>
          <w:t>https://www.sec.gov/files/litigation/complaints/2024/comp-pr2024-166-cls.pdf</w:t>
        </w:r>
      </w:hyperlink>
      <w:r w:rsidRPr="00782197">
        <w:rPr>
          <w:rFonts w:eastAsia="Times New Roman"/>
          <w:bCs/>
          <w:lang w:val="en-PH"/>
        </w:rPr>
        <w:t>, </w:t>
      </w:r>
      <w:hyperlink r:id="rId21" w:tgtFrame="_blank" w:history="1">
        <w:r w:rsidRPr="00782197">
          <w:rPr>
            <w:rStyle w:val="Hyperlink"/>
            <w:rFonts w:eastAsia="Times New Roman"/>
            <w:bCs/>
            <w:color w:val="FF6E00"/>
            <w:lang w:val="en-PH"/>
          </w:rPr>
          <w:t>https://www.sec.gov/newsroom/press-releases/2024-166</w:t>
        </w:r>
      </w:hyperlink>
      <w:r w:rsidRPr="00782197">
        <w:rPr>
          <w:rFonts w:eastAsia="Times New Roman"/>
          <w:bCs/>
          <w:lang w:val="en-PH"/>
        </w:rPr>
        <w:t>)</w:t>
      </w:r>
    </w:p>
    <w:p w14:paraId="7974BD84" w14:textId="77777777" w:rsidR="00372AF8" w:rsidRDefault="00372AF8" w:rsidP="00F155B0">
      <w:pPr>
        <w:jc w:val="both"/>
        <w:rPr>
          <w:rFonts w:eastAsia="Times New Roman"/>
          <w:bCs/>
        </w:rPr>
      </w:pPr>
    </w:p>
    <w:p w14:paraId="588CEFC0" w14:textId="77777777" w:rsidR="00AE13E8" w:rsidRPr="00AE13E8" w:rsidRDefault="00AE13E8" w:rsidP="00823F0C">
      <w:pPr>
        <w:rPr>
          <w:b/>
          <w:bCs/>
          <w:color w:val="FF6E00"/>
          <w:lang w:val="en-PH"/>
        </w:rPr>
      </w:pPr>
      <w:r w:rsidRPr="00AE13E8">
        <w:rPr>
          <w:b/>
          <w:bCs/>
          <w:color w:val="FF6E00"/>
          <w:lang w:val="en-PH"/>
        </w:rPr>
        <w:t>U.S. SEC Filed a Complaint Against ZM Quant Investment Ltd. Alleging Crypto Market Manipulation and Demanding Jury Trial</w:t>
      </w:r>
    </w:p>
    <w:p w14:paraId="2F798768" w14:textId="77777777" w:rsidR="00AE13E8" w:rsidRPr="00AE13E8" w:rsidRDefault="00AE13E8" w:rsidP="00AE13E8">
      <w:pPr>
        <w:jc w:val="both"/>
        <w:rPr>
          <w:rFonts w:eastAsia="Times New Roman"/>
          <w:bCs/>
          <w:lang w:val="en-PH"/>
        </w:rPr>
      </w:pPr>
      <w:r w:rsidRPr="00AE13E8">
        <w:rPr>
          <w:rFonts w:eastAsia="Times New Roman"/>
          <w:bCs/>
          <w:lang w:val="en-PH"/>
        </w:rPr>
        <w:t>On 9 October 2024, the U.S. Securities and Exchange Commission (</w:t>
      </w:r>
      <w:r w:rsidRPr="00AE13E8">
        <w:rPr>
          <w:rFonts w:eastAsia="Times New Roman"/>
          <w:b/>
          <w:bCs/>
          <w:lang w:val="en-PH"/>
        </w:rPr>
        <w:t>SEC</w:t>
      </w:r>
      <w:r w:rsidRPr="00AE13E8">
        <w:rPr>
          <w:rFonts w:eastAsia="Times New Roman"/>
          <w:bCs/>
          <w:lang w:val="en-PH"/>
        </w:rPr>
        <w:t>) filed a </w:t>
      </w:r>
      <w:hyperlink r:id="rId22" w:tgtFrame="_blank" w:history="1">
        <w:r w:rsidRPr="00AE13E8">
          <w:rPr>
            <w:rStyle w:val="Hyperlink"/>
            <w:rFonts w:eastAsia="Times New Roman"/>
            <w:bCs/>
            <w:color w:val="FF6E00"/>
            <w:u w:val="none"/>
            <w:lang w:val="en-PH"/>
          </w:rPr>
          <w:t>complaint</w:t>
        </w:r>
      </w:hyperlink>
      <w:r w:rsidRPr="00AE13E8">
        <w:rPr>
          <w:rFonts w:eastAsia="Times New Roman"/>
          <w:bCs/>
          <w:lang w:val="en-PH"/>
        </w:rPr>
        <w:t xml:space="preserve"> against ZM Quant Investment Ltd., Baijun Ou, and Ruiqi Lau, in the United States District Court for the District of Massachusetts, alleging market manipulation of crypto assets and demanding a jury trial. In its complaint, the US SEC alleges that ZM Quant Investment Ltd. and its principals, Baijun Ou and Ruiqi Lau, manipulated crypto asset markets by artificially inflating the price and trading volume of various tokens. According to the SEC, these actions misled investors and created the illusion of robust market activity, </w:t>
      </w:r>
      <w:proofErr w:type="gramStart"/>
      <w:r w:rsidRPr="00AE13E8">
        <w:rPr>
          <w:rFonts w:eastAsia="Times New Roman"/>
          <w:bCs/>
          <w:lang w:val="en-PH"/>
        </w:rPr>
        <w:t>while in reality, ZM Quant</w:t>
      </w:r>
      <w:proofErr w:type="gramEnd"/>
      <w:r w:rsidRPr="00AE13E8">
        <w:rPr>
          <w:rFonts w:eastAsia="Times New Roman"/>
          <w:bCs/>
          <w:lang w:val="en-PH"/>
        </w:rPr>
        <w:t xml:space="preserve"> was engaging in wash trading and other manipulative practices. The SEC’s complaint further outlines how ZM Quant’s actions harmed market integrity and defrauded investors. The SEC seeks permanent injunctions, disgorgement of profits, civil penalties, and a ban on the defendants’ participation in the securities markets, excluding personal trading.</w:t>
      </w:r>
    </w:p>
    <w:p w14:paraId="644C7E71" w14:textId="77777777" w:rsidR="00AE13E8" w:rsidRPr="00AE13E8" w:rsidRDefault="00AE13E8" w:rsidP="00AE13E8">
      <w:pPr>
        <w:jc w:val="both"/>
        <w:rPr>
          <w:rFonts w:eastAsia="Times New Roman"/>
          <w:bCs/>
          <w:lang w:val="en-PH"/>
        </w:rPr>
      </w:pPr>
      <w:r w:rsidRPr="00AE13E8">
        <w:rPr>
          <w:rFonts w:eastAsia="Times New Roman"/>
          <w:bCs/>
          <w:lang w:val="en-PH"/>
        </w:rPr>
        <w:lastRenderedPageBreak/>
        <w:t xml:space="preserve">From 2018-2023, ZM Quant advertised itself as a market maker since 2018, claiming to provide liquidity and support for over 1,100 tokens and 2,500 trading pairs. However, according to the SEC, ZM Quant was </w:t>
      </w:r>
      <w:proofErr w:type="gramStart"/>
      <w:r w:rsidRPr="00AE13E8">
        <w:rPr>
          <w:rFonts w:eastAsia="Times New Roman"/>
          <w:bCs/>
          <w:lang w:val="en-PH"/>
        </w:rPr>
        <w:t>actually involved</w:t>
      </w:r>
      <w:proofErr w:type="gramEnd"/>
      <w:r w:rsidRPr="00AE13E8">
        <w:rPr>
          <w:rFonts w:eastAsia="Times New Roman"/>
          <w:bCs/>
          <w:lang w:val="en-PH"/>
        </w:rPr>
        <w:t xml:space="preserve"> in manipulating the market for these assets by generating artificial trading volume through wash trading. Wash Trading is a manipulative method which involves buying and selling the same asset repeatedly to inflate trading volume and create the false appearance of market demand. Wash trades do not involve a change in beneficial ownership but are designed to mislead investors by suggesting that a security is actively traded.</w:t>
      </w:r>
    </w:p>
    <w:p w14:paraId="659B90D6" w14:textId="77777777" w:rsidR="00AE13E8" w:rsidRPr="00AE13E8" w:rsidRDefault="00AE13E8" w:rsidP="00AE13E8">
      <w:pPr>
        <w:jc w:val="both"/>
        <w:rPr>
          <w:rFonts w:eastAsia="Times New Roman"/>
          <w:bCs/>
          <w:lang w:val="en-PH"/>
        </w:rPr>
      </w:pPr>
      <w:r w:rsidRPr="00AE13E8">
        <w:rPr>
          <w:rFonts w:eastAsia="Times New Roman"/>
          <w:bCs/>
          <w:lang w:val="en-PH"/>
        </w:rPr>
        <w:t>In May 2024, ZM Quant was hired to manipulate the market for NexFundAI, a crypto asset developed as part of an FBI undercover operation. The NexFundAI team, working with the FBI, engaged ZM Quant in early 2024 to create artificial trading volume for the token. On May 31, 2024, ZM Quant generated $4,600 in artificial trading volume for NexFundAI over a nine-hour period, accounting for 83.6% of the token’s trading volume on the Uniswap platform.</w:t>
      </w:r>
    </w:p>
    <w:p w14:paraId="1C104F24" w14:textId="77777777" w:rsidR="00AE13E8" w:rsidRPr="00AE13E8" w:rsidRDefault="00AE13E8" w:rsidP="00AE13E8">
      <w:pPr>
        <w:jc w:val="both"/>
        <w:rPr>
          <w:rFonts w:eastAsia="Times New Roman"/>
          <w:bCs/>
          <w:lang w:val="en-PH"/>
        </w:rPr>
      </w:pPr>
      <w:r w:rsidRPr="00AE13E8">
        <w:rPr>
          <w:rFonts w:eastAsia="Times New Roman"/>
          <w:bCs/>
          <w:lang w:val="en-PH"/>
        </w:rPr>
        <w:t>From September 2021 to September 2023, ZM Quant manipulated the market for two crypto assets, Saitama and SaitaRealty, in exchange for monthly fees. In one instance, on May 26, 2023, after a warning from a trading platform about low trading volume, ZM Quant rapidly traded SaitaRealty, increasing its transaction quantity by 412,000,000,000 percent and inflating daily trading volume to billions of dollars within 24 hours.</w:t>
      </w:r>
    </w:p>
    <w:p w14:paraId="38B8D30C" w14:textId="77777777" w:rsidR="00AE13E8" w:rsidRPr="00AE13E8" w:rsidRDefault="00AE13E8" w:rsidP="00AE13E8">
      <w:pPr>
        <w:jc w:val="both"/>
        <w:rPr>
          <w:rFonts w:eastAsia="Times New Roman"/>
          <w:bCs/>
          <w:lang w:val="en-PH"/>
        </w:rPr>
      </w:pPr>
      <w:r w:rsidRPr="00AE13E8">
        <w:rPr>
          <w:rFonts w:eastAsia="Times New Roman"/>
          <w:bCs/>
          <w:lang w:val="en-PH"/>
        </w:rPr>
        <w:t>The SEC’s complaint alleges that ZM Quant and its principals violated U.S. securities laws, including the United States’ Securities Act of 1933 and the United States’ Securities Exchange Act of 1934.</w:t>
      </w:r>
    </w:p>
    <w:p w14:paraId="25854B54" w14:textId="77777777" w:rsidR="00AE13E8" w:rsidRPr="00AE13E8" w:rsidRDefault="00AE13E8" w:rsidP="00AE13E8">
      <w:pPr>
        <w:jc w:val="both"/>
        <w:rPr>
          <w:rFonts w:eastAsia="Times New Roman"/>
          <w:bCs/>
          <w:lang w:val="en-PH"/>
        </w:rPr>
      </w:pPr>
      <w:r w:rsidRPr="00AE13E8">
        <w:rPr>
          <w:rFonts w:eastAsia="Times New Roman"/>
          <w:bCs/>
          <w:lang w:val="en-PH"/>
        </w:rPr>
        <w:t>ZM Quant is accused of engaging in fraudulent activities in connection with the offer or sale of securities in violation of Section 17(a) of the United States’ Securities Act of 1933. Section 17(a) prohibits fraud, deceit, and misrepresentations in the offer or sale of securities. It has three sub-sections, with 17(a)(1) addressing the use of deceptive devices, and 17(a)(3) targeting any business practices that operate as a fraud on investors, whether intentional or negligent.</w:t>
      </w:r>
    </w:p>
    <w:p w14:paraId="05A79270" w14:textId="77777777" w:rsidR="00AE13E8" w:rsidRPr="00AE13E8" w:rsidRDefault="00AE13E8" w:rsidP="00AE13E8">
      <w:pPr>
        <w:jc w:val="both"/>
        <w:rPr>
          <w:rFonts w:eastAsia="Times New Roman"/>
          <w:bCs/>
          <w:lang w:val="en-PH"/>
        </w:rPr>
      </w:pPr>
      <w:r w:rsidRPr="00AE13E8">
        <w:rPr>
          <w:rFonts w:eastAsia="Times New Roman"/>
          <w:bCs/>
          <w:lang w:val="en-PH"/>
        </w:rPr>
        <w:t>ZM Quant allegedly manipulated crypto asset prices and engaged in fraudulent trading practices, deceiving investors in violation of Section 10(b) of the United States’ Securities Exchange Act of 1934 and Rule 10b-5. Section 10(b) is a broad anti-fraud provision, making it unlawful to use any manipulative or deceptive practices in connection with the purchase or sale of any security. Rule 10b-5 further prohibits any fraud or deceit, including the employment of schemes to defraud, making untrue statements, or engaging in practices that deceive investors. ZM Quant is also accused of manipulating trading volume and prices by creating artificial trading activity in certain crypto assets, thereby inducing others to trade based on false information in violation of Section 9(a)(2) of the United States’ Securities Exchange Act of 1934. Section 9(a)(2) prohibits the creation of false market activity through manipulative transactions that artificially affect the price or trading volume of a security. It is designed to ensure that trading reflects genuine market interest rather than deceptive practices aimed at manipulating prices for personal gain.</w:t>
      </w:r>
    </w:p>
    <w:p w14:paraId="08A979A7" w14:textId="77777777" w:rsidR="00AE13E8" w:rsidRPr="00AE13E8" w:rsidRDefault="00AE13E8" w:rsidP="00AE13E8">
      <w:pPr>
        <w:jc w:val="both"/>
        <w:rPr>
          <w:rFonts w:eastAsia="Times New Roman"/>
          <w:bCs/>
          <w:lang w:val="en-PH"/>
        </w:rPr>
      </w:pPr>
      <w:r w:rsidRPr="00AE13E8">
        <w:rPr>
          <w:rFonts w:eastAsia="Times New Roman"/>
          <w:bCs/>
          <w:lang w:val="en-PH"/>
        </w:rPr>
        <w:t xml:space="preserve">The US SEC is seeking legal remedies, including Permanent Injunction, to prevent ZM Quant and its principals from continuing to engage in securities violations, the SEC is requesting a court order that permanently restrains the defendants from participating in any fraudulent activities related to securities, along with disgorgement of Ill-Gotten Gains and the US SEC is asking the court to order ZM Quant to return all profits obtained through its unlawful activities, along with prejudgment interest. The US SEC is also seeking financial penalties to punish ZM Quant for violating securities laws and to deter future misconduct </w:t>
      </w:r>
      <w:r w:rsidRPr="00AE13E8">
        <w:rPr>
          <w:rFonts w:eastAsia="Times New Roman"/>
          <w:bCs/>
          <w:lang w:val="en-PH"/>
        </w:rPr>
        <w:lastRenderedPageBreak/>
        <w:t xml:space="preserve">and seeks ZM Quant and its principals be barred from participating in any future securities offerings, </w:t>
      </w:r>
      <w:proofErr w:type="gramStart"/>
      <w:r w:rsidRPr="00AE13E8">
        <w:rPr>
          <w:rFonts w:eastAsia="Times New Roman"/>
          <w:bCs/>
          <w:lang w:val="en-PH"/>
        </w:rPr>
        <w:t>with the exception of</w:t>
      </w:r>
      <w:proofErr w:type="gramEnd"/>
      <w:r w:rsidRPr="00AE13E8">
        <w:rPr>
          <w:rFonts w:eastAsia="Times New Roman"/>
          <w:bCs/>
          <w:lang w:val="en-PH"/>
        </w:rPr>
        <w:t xml:space="preserve"> personal transactions.</w:t>
      </w:r>
    </w:p>
    <w:p w14:paraId="68ACC086" w14:textId="77777777" w:rsidR="00AE13E8" w:rsidRPr="00AE13E8" w:rsidRDefault="00AE13E8" w:rsidP="00823F0C">
      <w:pPr>
        <w:rPr>
          <w:rFonts w:eastAsia="Times New Roman"/>
          <w:bCs/>
          <w:lang w:val="en-PH"/>
        </w:rPr>
      </w:pPr>
      <w:r w:rsidRPr="00AE13E8">
        <w:rPr>
          <w:rFonts w:eastAsia="Times New Roman"/>
          <w:bCs/>
          <w:lang w:val="en-PH"/>
        </w:rPr>
        <w:t>(Source: </w:t>
      </w:r>
      <w:hyperlink r:id="rId23" w:tgtFrame="_blank" w:history="1">
        <w:r w:rsidRPr="00AE13E8">
          <w:rPr>
            <w:rStyle w:val="Hyperlink"/>
            <w:rFonts w:eastAsia="Times New Roman"/>
            <w:bCs/>
            <w:color w:val="FF6E00"/>
            <w:lang w:val="en-PH"/>
          </w:rPr>
          <w:t>https://www.sec.gov/files/litigation/complaints/2024/comp-pr2024-166-zm-quant.pdf</w:t>
        </w:r>
      </w:hyperlink>
      <w:r w:rsidRPr="00AE13E8">
        <w:rPr>
          <w:rFonts w:eastAsia="Times New Roman"/>
          <w:bCs/>
          <w:lang w:val="en-PH"/>
        </w:rPr>
        <w:t>, </w:t>
      </w:r>
      <w:hyperlink r:id="rId24" w:tgtFrame="_blank" w:history="1">
        <w:r w:rsidRPr="00AE13E8">
          <w:rPr>
            <w:rStyle w:val="Hyperlink"/>
            <w:rFonts w:eastAsia="Times New Roman"/>
            <w:bCs/>
            <w:color w:val="FF6E00"/>
            <w:lang w:val="en-PH"/>
          </w:rPr>
          <w:t>https://www.sec.gov/newsroom/press-releases/2024-166</w:t>
        </w:r>
      </w:hyperlink>
      <w:r w:rsidRPr="00AE13E8">
        <w:rPr>
          <w:rFonts w:eastAsia="Times New Roman"/>
          <w:bCs/>
          <w:lang w:val="en-PH"/>
        </w:rPr>
        <w:t>)</w:t>
      </w:r>
    </w:p>
    <w:p w14:paraId="682BC034" w14:textId="77777777" w:rsidR="00372AF8" w:rsidRDefault="00372AF8" w:rsidP="00F155B0">
      <w:pPr>
        <w:jc w:val="both"/>
        <w:rPr>
          <w:rFonts w:eastAsia="Times New Roman"/>
          <w:bCs/>
        </w:rPr>
      </w:pPr>
    </w:p>
    <w:p w14:paraId="1BD41413" w14:textId="77777777" w:rsidR="00500E0C" w:rsidRDefault="00500E0C" w:rsidP="00F155B0">
      <w:pPr>
        <w:jc w:val="both"/>
        <w:rPr>
          <w:rFonts w:eastAsia="Times New Roman"/>
          <w:bCs/>
        </w:rPr>
      </w:pPr>
    </w:p>
    <w:p w14:paraId="18355AE0" w14:textId="77777777" w:rsidR="00500E0C" w:rsidRDefault="00500E0C" w:rsidP="00F155B0">
      <w:pPr>
        <w:jc w:val="both"/>
        <w:rPr>
          <w:rFonts w:eastAsia="Times New Roman"/>
          <w:bCs/>
        </w:rPr>
      </w:pPr>
    </w:p>
    <w:p w14:paraId="6840EEA3" w14:textId="77777777" w:rsidR="00500E0C" w:rsidRDefault="00500E0C" w:rsidP="00F155B0">
      <w:pPr>
        <w:jc w:val="both"/>
        <w:rPr>
          <w:rFonts w:eastAsia="Times New Roman"/>
          <w:bCs/>
        </w:rPr>
      </w:pPr>
    </w:p>
    <w:p w14:paraId="5E448334" w14:textId="77777777" w:rsidR="00500E0C" w:rsidRDefault="00500E0C" w:rsidP="00F155B0">
      <w:pPr>
        <w:jc w:val="both"/>
        <w:rPr>
          <w:rFonts w:eastAsia="Times New Roman"/>
          <w:bCs/>
        </w:rPr>
      </w:pPr>
    </w:p>
    <w:p w14:paraId="58E0F6D4" w14:textId="77777777" w:rsidR="00500E0C" w:rsidRDefault="00500E0C" w:rsidP="00F155B0">
      <w:pPr>
        <w:jc w:val="both"/>
        <w:rPr>
          <w:rFonts w:eastAsia="Times New Roman"/>
          <w:bCs/>
        </w:rPr>
      </w:pPr>
    </w:p>
    <w:p w14:paraId="0169B6FE" w14:textId="77777777" w:rsidR="00500E0C" w:rsidRDefault="00500E0C" w:rsidP="00F155B0">
      <w:pPr>
        <w:jc w:val="both"/>
        <w:rPr>
          <w:rFonts w:eastAsia="Times New Roman"/>
          <w:bCs/>
        </w:rPr>
      </w:pPr>
    </w:p>
    <w:p w14:paraId="796877B6" w14:textId="77777777" w:rsidR="00500E0C" w:rsidRDefault="00500E0C" w:rsidP="00F155B0">
      <w:pPr>
        <w:jc w:val="both"/>
        <w:rPr>
          <w:rFonts w:eastAsia="Times New Roman"/>
          <w:bCs/>
        </w:rPr>
      </w:pPr>
    </w:p>
    <w:p w14:paraId="2BC5FD94" w14:textId="77777777" w:rsidR="00500E0C" w:rsidRDefault="00500E0C" w:rsidP="00F155B0">
      <w:pPr>
        <w:jc w:val="both"/>
        <w:rPr>
          <w:rFonts w:eastAsia="Times New Roman"/>
          <w:bCs/>
        </w:rPr>
      </w:pPr>
    </w:p>
    <w:p w14:paraId="1743E3C6" w14:textId="77777777" w:rsidR="00500E0C" w:rsidRDefault="00500E0C" w:rsidP="00F155B0">
      <w:pPr>
        <w:jc w:val="both"/>
        <w:rPr>
          <w:rFonts w:eastAsia="Times New Roman"/>
          <w:bCs/>
        </w:rPr>
      </w:pPr>
    </w:p>
    <w:p w14:paraId="245F1F50" w14:textId="77777777" w:rsidR="00372AF8" w:rsidRPr="00F155B0" w:rsidRDefault="00372AF8" w:rsidP="00F155B0">
      <w:pPr>
        <w:jc w:val="both"/>
        <w:rPr>
          <w:rFonts w:eastAsia="Times New Roman"/>
          <w:bCs/>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5">
        <w:r w:rsidRPr="00C46FF7">
          <w:rPr>
            <w:rFonts w:ascii="Arial" w:hAnsi="Arial" w:cs="Arial"/>
            <w:sz w:val="22"/>
            <w:szCs w:val="22"/>
            <w:lang w:val="en-GB"/>
          </w:rPr>
          <w:t>unsubscribe@charltonslaw.com</w:t>
        </w:r>
      </w:hyperlink>
    </w:p>
    <w:p w14:paraId="4BFB9E37" w14:textId="5EB62B90"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F651E">
        <w:rPr>
          <w:rFonts w:ascii="Arial" w:hAnsi="Arial" w:cs="Arial"/>
          <w:sz w:val="22"/>
          <w:szCs w:val="22"/>
          <w:lang w:val="en-GB"/>
        </w:rPr>
        <w:t>1</w:t>
      </w:r>
      <w:r w:rsidR="00651062">
        <w:rPr>
          <w:rFonts w:ascii="Arial" w:hAnsi="Arial" w:cs="Arial"/>
          <w:sz w:val="22"/>
          <w:szCs w:val="22"/>
          <w:lang w:val="en-GB"/>
        </w:rPr>
        <w:t>6</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D03ACD">
        <w:rPr>
          <w:rFonts w:ascii="Arial" w:eastAsia="Cambria" w:hAnsi="Arial" w:cs="Arial"/>
          <w:sz w:val="22"/>
          <w:szCs w:val="22"/>
          <w:lang w:val="en-GB"/>
        </w:rPr>
        <w:t>October</w:t>
      </w:r>
      <w:r w:rsidRPr="002A32F6">
        <w:rPr>
          <w:rFonts w:ascii="Arial" w:eastAsia="Cambria" w:hAnsi="Arial" w:cs="Arial"/>
          <w:sz w:val="22"/>
          <w:szCs w:val="22"/>
          <w:lang w:val="en-GB"/>
        </w:rPr>
        <w:t xml:space="preserve"> 2024</w:t>
      </w:r>
      <w:bookmarkEnd w:id="0"/>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22"/>
  </w:num>
  <w:num w:numId="3" w16cid:durableId="2074813254">
    <w:abstractNumId w:val="8"/>
  </w:num>
  <w:num w:numId="4" w16cid:durableId="1502967021">
    <w:abstractNumId w:val="0"/>
  </w:num>
  <w:num w:numId="5" w16cid:durableId="942999798">
    <w:abstractNumId w:val="24"/>
  </w:num>
  <w:num w:numId="6" w16cid:durableId="1575898805">
    <w:abstractNumId w:val="15"/>
  </w:num>
  <w:num w:numId="7" w16cid:durableId="1378318754">
    <w:abstractNumId w:val="17"/>
  </w:num>
  <w:num w:numId="8" w16cid:durableId="580287903">
    <w:abstractNumId w:val="13"/>
  </w:num>
  <w:num w:numId="9" w16cid:durableId="1550872740">
    <w:abstractNumId w:val="21"/>
  </w:num>
  <w:num w:numId="10" w16cid:durableId="1971083369">
    <w:abstractNumId w:val="2"/>
  </w:num>
  <w:num w:numId="11" w16cid:durableId="1221399460">
    <w:abstractNumId w:val="23"/>
  </w:num>
  <w:num w:numId="12" w16cid:durableId="1130344">
    <w:abstractNumId w:val="5"/>
  </w:num>
  <w:num w:numId="13" w16cid:durableId="724571868">
    <w:abstractNumId w:val="1"/>
  </w:num>
  <w:num w:numId="14" w16cid:durableId="273438372">
    <w:abstractNumId w:val="19"/>
    <w:lvlOverride w:ilvl="0">
      <w:lvl w:ilvl="0">
        <w:numFmt w:val="lowerRoman"/>
        <w:lvlText w:val="%1."/>
        <w:lvlJc w:val="right"/>
      </w:lvl>
    </w:lvlOverride>
  </w:num>
  <w:num w:numId="15" w16cid:durableId="1735548128">
    <w:abstractNumId w:val="19"/>
    <w:lvlOverride w:ilvl="0">
      <w:lvl w:ilvl="0">
        <w:numFmt w:val="lowerRoman"/>
        <w:lvlText w:val="%1."/>
        <w:lvlJc w:val="right"/>
      </w:lvl>
    </w:lvlOverride>
  </w:num>
  <w:num w:numId="16" w16cid:durableId="1888104222">
    <w:abstractNumId w:val="19"/>
    <w:lvlOverride w:ilvl="0">
      <w:lvl w:ilvl="0">
        <w:numFmt w:val="lowerRoman"/>
        <w:lvlText w:val="%1."/>
        <w:lvlJc w:val="right"/>
      </w:lvl>
    </w:lvlOverride>
  </w:num>
  <w:num w:numId="17" w16cid:durableId="1586258705">
    <w:abstractNumId w:val="19"/>
    <w:lvlOverride w:ilvl="0">
      <w:lvl w:ilvl="0">
        <w:numFmt w:val="lowerRoman"/>
        <w:lvlText w:val="%1."/>
        <w:lvlJc w:val="right"/>
      </w:lvl>
    </w:lvlOverride>
  </w:num>
  <w:num w:numId="18" w16cid:durableId="1661732417">
    <w:abstractNumId w:val="14"/>
  </w:num>
  <w:num w:numId="19" w16cid:durableId="511378157">
    <w:abstractNumId w:val="6"/>
  </w:num>
  <w:num w:numId="20" w16cid:durableId="121969876">
    <w:abstractNumId w:val="3"/>
  </w:num>
  <w:num w:numId="21" w16cid:durableId="1684628695">
    <w:abstractNumId w:val="20"/>
  </w:num>
  <w:num w:numId="22" w16cid:durableId="1107626459">
    <w:abstractNumId w:val="16"/>
  </w:num>
  <w:num w:numId="23" w16cid:durableId="118770229">
    <w:abstractNumId w:val="25"/>
  </w:num>
  <w:num w:numId="24" w16cid:durableId="177693014">
    <w:abstractNumId w:val="18"/>
  </w:num>
  <w:num w:numId="25" w16cid:durableId="580061562">
    <w:abstractNumId w:val="10"/>
  </w:num>
  <w:num w:numId="26" w16cid:durableId="1366559567">
    <w:abstractNumId w:val="9"/>
  </w:num>
  <w:num w:numId="27" w16cid:durableId="288439127">
    <w:abstractNumId w:val="11"/>
  </w:num>
  <w:num w:numId="28" w16cid:durableId="486632546">
    <w:abstractNumId w:val="7"/>
  </w:num>
  <w:num w:numId="29" w16cid:durableId="331033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10A36"/>
    <w:rsid w:val="00011D2F"/>
    <w:rsid w:val="000205CC"/>
    <w:rsid w:val="000243D9"/>
    <w:rsid w:val="000245FF"/>
    <w:rsid w:val="000252D0"/>
    <w:rsid w:val="0003348A"/>
    <w:rsid w:val="00034A74"/>
    <w:rsid w:val="00035967"/>
    <w:rsid w:val="000450EC"/>
    <w:rsid w:val="00055654"/>
    <w:rsid w:val="000608FB"/>
    <w:rsid w:val="0006256F"/>
    <w:rsid w:val="00063802"/>
    <w:rsid w:val="000721F8"/>
    <w:rsid w:val="00073F4D"/>
    <w:rsid w:val="00082E37"/>
    <w:rsid w:val="00092D28"/>
    <w:rsid w:val="00097902"/>
    <w:rsid w:val="000A284A"/>
    <w:rsid w:val="000A40AA"/>
    <w:rsid w:val="000A6ABC"/>
    <w:rsid w:val="000B2FAD"/>
    <w:rsid w:val="000B60E8"/>
    <w:rsid w:val="000C309D"/>
    <w:rsid w:val="000C478D"/>
    <w:rsid w:val="000D561C"/>
    <w:rsid w:val="000E2273"/>
    <w:rsid w:val="000E568E"/>
    <w:rsid w:val="000E7DAA"/>
    <w:rsid w:val="000F2253"/>
    <w:rsid w:val="000F435A"/>
    <w:rsid w:val="000F45F9"/>
    <w:rsid w:val="000F6230"/>
    <w:rsid w:val="00101D42"/>
    <w:rsid w:val="00104145"/>
    <w:rsid w:val="0011342C"/>
    <w:rsid w:val="001148B5"/>
    <w:rsid w:val="001160B1"/>
    <w:rsid w:val="001170F1"/>
    <w:rsid w:val="00132F89"/>
    <w:rsid w:val="00141D4A"/>
    <w:rsid w:val="00142600"/>
    <w:rsid w:val="00143AC9"/>
    <w:rsid w:val="00144233"/>
    <w:rsid w:val="0015318A"/>
    <w:rsid w:val="00166B91"/>
    <w:rsid w:val="001677A7"/>
    <w:rsid w:val="00176578"/>
    <w:rsid w:val="00183CF7"/>
    <w:rsid w:val="001840A3"/>
    <w:rsid w:val="00185A3C"/>
    <w:rsid w:val="001919D6"/>
    <w:rsid w:val="00192502"/>
    <w:rsid w:val="0019610D"/>
    <w:rsid w:val="001A7174"/>
    <w:rsid w:val="001B19A8"/>
    <w:rsid w:val="001B2B56"/>
    <w:rsid w:val="001B7EA8"/>
    <w:rsid w:val="001C43BA"/>
    <w:rsid w:val="001D2EED"/>
    <w:rsid w:val="001F05C7"/>
    <w:rsid w:val="001F7BAD"/>
    <w:rsid w:val="00201D41"/>
    <w:rsid w:val="00205B49"/>
    <w:rsid w:val="002217D5"/>
    <w:rsid w:val="00225D41"/>
    <w:rsid w:val="00230938"/>
    <w:rsid w:val="0023336C"/>
    <w:rsid w:val="0023645A"/>
    <w:rsid w:val="00236CA3"/>
    <w:rsid w:val="002533D5"/>
    <w:rsid w:val="0028154B"/>
    <w:rsid w:val="0028622F"/>
    <w:rsid w:val="002867DE"/>
    <w:rsid w:val="002914A1"/>
    <w:rsid w:val="002A2D50"/>
    <w:rsid w:val="002A32F6"/>
    <w:rsid w:val="002B217F"/>
    <w:rsid w:val="002B7807"/>
    <w:rsid w:val="002B785F"/>
    <w:rsid w:val="002C0FEA"/>
    <w:rsid w:val="002C405A"/>
    <w:rsid w:val="002C4225"/>
    <w:rsid w:val="002D1B99"/>
    <w:rsid w:val="002E1A3C"/>
    <w:rsid w:val="002F341C"/>
    <w:rsid w:val="00302E27"/>
    <w:rsid w:val="00306D8B"/>
    <w:rsid w:val="0030750F"/>
    <w:rsid w:val="003117E7"/>
    <w:rsid w:val="0031285F"/>
    <w:rsid w:val="003147D3"/>
    <w:rsid w:val="00315BDB"/>
    <w:rsid w:val="00320830"/>
    <w:rsid w:val="00323616"/>
    <w:rsid w:val="00326775"/>
    <w:rsid w:val="00330B43"/>
    <w:rsid w:val="00335AAA"/>
    <w:rsid w:val="003544A2"/>
    <w:rsid w:val="00361C38"/>
    <w:rsid w:val="0037118C"/>
    <w:rsid w:val="00372AAA"/>
    <w:rsid w:val="00372AF8"/>
    <w:rsid w:val="00374E68"/>
    <w:rsid w:val="00382F0D"/>
    <w:rsid w:val="0038619E"/>
    <w:rsid w:val="0038748F"/>
    <w:rsid w:val="00395C76"/>
    <w:rsid w:val="003975E2"/>
    <w:rsid w:val="003A6BC6"/>
    <w:rsid w:val="003B05D8"/>
    <w:rsid w:val="003C073B"/>
    <w:rsid w:val="003C2113"/>
    <w:rsid w:val="003C28EF"/>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22E6"/>
    <w:rsid w:val="00415A64"/>
    <w:rsid w:val="00416748"/>
    <w:rsid w:val="0041769C"/>
    <w:rsid w:val="00417D62"/>
    <w:rsid w:val="00417EA6"/>
    <w:rsid w:val="0042063D"/>
    <w:rsid w:val="00426E64"/>
    <w:rsid w:val="00431670"/>
    <w:rsid w:val="00440235"/>
    <w:rsid w:val="004438A0"/>
    <w:rsid w:val="004504E2"/>
    <w:rsid w:val="00454BBF"/>
    <w:rsid w:val="0046163B"/>
    <w:rsid w:val="00465552"/>
    <w:rsid w:val="00471EF8"/>
    <w:rsid w:val="0048480D"/>
    <w:rsid w:val="004924EF"/>
    <w:rsid w:val="00496C17"/>
    <w:rsid w:val="004B0F4E"/>
    <w:rsid w:val="004B5FED"/>
    <w:rsid w:val="004C4B5A"/>
    <w:rsid w:val="004D4E1B"/>
    <w:rsid w:val="004E3EB7"/>
    <w:rsid w:val="004E74DA"/>
    <w:rsid w:val="004E7B8C"/>
    <w:rsid w:val="004F56B3"/>
    <w:rsid w:val="00500E0C"/>
    <w:rsid w:val="00501590"/>
    <w:rsid w:val="00515249"/>
    <w:rsid w:val="00515888"/>
    <w:rsid w:val="00517014"/>
    <w:rsid w:val="005219C4"/>
    <w:rsid w:val="00523D35"/>
    <w:rsid w:val="00533C38"/>
    <w:rsid w:val="0053467A"/>
    <w:rsid w:val="00534B22"/>
    <w:rsid w:val="0053654D"/>
    <w:rsid w:val="00536632"/>
    <w:rsid w:val="00542AC9"/>
    <w:rsid w:val="00544182"/>
    <w:rsid w:val="00545BDD"/>
    <w:rsid w:val="00553970"/>
    <w:rsid w:val="00554665"/>
    <w:rsid w:val="005610CE"/>
    <w:rsid w:val="00563E48"/>
    <w:rsid w:val="00566E89"/>
    <w:rsid w:val="0058673C"/>
    <w:rsid w:val="00590C3B"/>
    <w:rsid w:val="00596683"/>
    <w:rsid w:val="005A1AFE"/>
    <w:rsid w:val="005A20B6"/>
    <w:rsid w:val="005A2560"/>
    <w:rsid w:val="005B0584"/>
    <w:rsid w:val="005B4E83"/>
    <w:rsid w:val="005C0830"/>
    <w:rsid w:val="005C6088"/>
    <w:rsid w:val="005E09D5"/>
    <w:rsid w:val="005E0DFB"/>
    <w:rsid w:val="005E2BD5"/>
    <w:rsid w:val="005E6D3E"/>
    <w:rsid w:val="005F2548"/>
    <w:rsid w:val="005F59F2"/>
    <w:rsid w:val="005F7B80"/>
    <w:rsid w:val="006138EE"/>
    <w:rsid w:val="00615365"/>
    <w:rsid w:val="00617649"/>
    <w:rsid w:val="00617E88"/>
    <w:rsid w:val="0062328A"/>
    <w:rsid w:val="006335B8"/>
    <w:rsid w:val="006449FF"/>
    <w:rsid w:val="00651062"/>
    <w:rsid w:val="00654FDF"/>
    <w:rsid w:val="00661EE8"/>
    <w:rsid w:val="00667A59"/>
    <w:rsid w:val="00671AC9"/>
    <w:rsid w:val="006751D0"/>
    <w:rsid w:val="00680D15"/>
    <w:rsid w:val="006874F7"/>
    <w:rsid w:val="0069188A"/>
    <w:rsid w:val="00692F85"/>
    <w:rsid w:val="0069525B"/>
    <w:rsid w:val="006B14E6"/>
    <w:rsid w:val="006B502D"/>
    <w:rsid w:val="006B565C"/>
    <w:rsid w:val="006C0CAD"/>
    <w:rsid w:val="006D01BA"/>
    <w:rsid w:val="006D3933"/>
    <w:rsid w:val="006D45D7"/>
    <w:rsid w:val="006D4C8B"/>
    <w:rsid w:val="006D5B2D"/>
    <w:rsid w:val="006F1F09"/>
    <w:rsid w:val="006F63DF"/>
    <w:rsid w:val="006F651E"/>
    <w:rsid w:val="006F764A"/>
    <w:rsid w:val="006F7B8A"/>
    <w:rsid w:val="007037B2"/>
    <w:rsid w:val="00704CA9"/>
    <w:rsid w:val="00704E39"/>
    <w:rsid w:val="00704ED6"/>
    <w:rsid w:val="00711EC0"/>
    <w:rsid w:val="00723348"/>
    <w:rsid w:val="00733D25"/>
    <w:rsid w:val="00737AD6"/>
    <w:rsid w:val="0074143E"/>
    <w:rsid w:val="00742C26"/>
    <w:rsid w:val="007506FC"/>
    <w:rsid w:val="00755552"/>
    <w:rsid w:val="007623D6"/>
    <w:rsid w:val="007641F6"/>
    <w:rsid w:val="007645BD"/>
    <w:rsid w:val="00764A70"/>
    <w:rsid w:val="0076729A"/>
    <w:rsid w:val="00771BAF"/>
    <w:rsid w:val="0077224D"/>
    <w:rsid w:val="00782197"/>
    <w:rsid w:val="00785202"/>
    <w:rsid w:val="00785CF1"/>
    <w:rsid w:val="00792443"/>
    <w:rsid w:val="0079385F"/>
    <w:rsid w:val="00795BA9"/>
    <w:rsid w:val="007A28B8"/>
    <w:rsid w:val="007C2569"/>
    <w:rsid w:val="007C546D"/>
    <w:rsid w:val="007C7D68"/>
    <w:rsid w:val="007D0BCA"/>
    <w:rsid w:val="007F0E26"/>
    <w:rsid w:val="00802888"/>
    <w:rsid w:val="008044B5"/>
    <w:rsid w:val="00814543"/>
    <w:rsid w:val="00821C1E"/>
    <w:rsid w:val="00823F0C"/>
    <w:rsid w:val="008353B3"/>
    <w:rsid w:val="008377F5"/>
    <w:rsid w:val="00840613"/>
    <w:rsid w:val="00840D90"/>
    <w:rsid w:val="00842845"/>
    <w:rsid w:val="0085297C"/>
    <w:rsid w:val="00853E22"/>
    <w:rsid w:val="008542B4"/>
    <w:rsid w:val="00855526"/>
    <w:rsid w:val="008577C6"/>
    <w:rsid w:val="0088382A"/>
    <w:rsid w:val="00886C42"/>
    <w:rsid w:val="0089006C"/>
    <w:rsid w:val="0089240F"/>
    <w:rsid w:val="00895346"/>
    <w:rsid w:val="00896E65"/>
    <w:rsid w:val="008A107D"/>
    <w:rsid w:val="008A4DCA"/>
    <w:rsid w:val="008B062E"/>
    <w:rsid w:val="008B31A1"/>
    <w:rsid w:val="008B4028"/>
    <w:rsid w:val="008B716C"/>
    <w:rsid w:val="008C3BDB"/>
    <w:rsid w:val="008C5693"/>
    <w:rsid w:val="008D4BF8"/>
    <w:rsid w:val="008F404E"/>
    <w:rsid w:val="009000B2"/>
    <w:rsid w:val="0090658C"/>
    <w:rsid w:val="009121AD"/>
    <w:rsid w:val="00913B7B"/>
    <w:rsid w:val="00933004"/>
    <w:rsid w:val="009342F2"/>
    <w:rsid w:val="00960935"/>
    <w:rsid w:val="009612CB"/>
    <w:rsid w:val="0096336F"/>
    <w:rsid w:val="009723CB"/>
    <w:rsid w:val="00977508"/>
    <w:rsid w:val="00985E9C"/>
    <w:rsid w:val="00991978"/>
    <w:rsid w:val="00992A6E"/>
    <w:rsid w:val="009A711B"/>
    <w:rsid w:val="009B0A33"/>
    <w:rsid w:val="009B0F40"/>
    <w:rsid w:val="009B10C7"/>
    <w:rsid w:val="009B1474"/>
    <w:rsid w:val="009D1B2E"/>
    <w:rsid w:val="009D643D"/>
    <w:rsid w:val="009E37EF"/>
    <w:rsid w:val="009F15E0"/>
    <w:rsid w:val="009F6BAE"/>
    <w:rsid w:val="00A009BF"/>
    <w:rsid w:val="00A029CE"/>
    <w:rsid w:val="00A10B4E"/>
    <w:rsid w:val="00A137EB"/>
    <w:rsid w:val="00A15EFE"/>
    <w:rsid w:val="00A17AD9"/>
    <w:rsid w:val="00A20028"/>
    <w:rsid w:val="00A2435D"/>
    <w:rsid w:val="00A2451D"/>
    <w:rsid w:val="00A27693"/>
    <w:rsid w:val="00A309A8"/>
    <w:rsid w:val="00A33E18"/>
    <w:rsid w:val="00A5442B"/>
    <w:rsid w:val="00A54B8A"/>
    <w:rsid w:val="00A57542"/>
    <w:rsid w:val="00A62A39"/>
    <w:rsid w:val="00A62A73"/>
    <w:rsid w:val="00A73034"/>
    <w:rsid w:val="00A812E7"/>
    <w:rsid w:val="00A8197B"/>
    <w:rsid w:val="00A82654"/>
    <w:rsid w:val="00A95B73"/>
    <w:rsid w:val="00AA0E9F"/>
    <w:rsid w:val="00AA3AEF"/>
    <w:rsid w:val="00AB787B"/>
    <w:rsid w:val="00AB79B6"/>
    <w:rsid w:val="00AC778A"/>
    <w:rsid w:val="00AC7E37"/>
    <w:rsid w:val="00AD20E5"/>
    <w:rsid w:val="00AD2903"/>
    <w:rsid w:val="00AD7F63"/>
    <w:rsid w:val="00AE0E38"/>
    <w:rsid w:val="00AE13E8"/>
    <w:rsid w:val="00AE606F"/>
    <w:rsid w:val="00AF242C"/>
    <w:rsid w:val="00B00F3D"/>
    <w:rsid w:val="00B02C8F"/>
    <w:rsid w:val="00B07130"/>
    <w:rsid w:val="00B072EB"/>
    <w:rsid w:val="00B25109"/>
    <w:rsid w:val="00B31D83"/>
    <w:rsid w:val="00B33573"/>
    <w:rsid w:val="00B34352"/>
    <w:rsid w:val="00B35027"/>
    <w:rsid w:val="00B4763A"/>
    <w:rsid w:val="00B508E7"/>
    <w:rsid w:val="00B516D9"/>
    <w:rsid w:val="00B57564"/>
    <w:rsid w:val="00B65F0C"/>
    <w:rsid w:val="00B73236"/>
    <w:rsid w:val="00B7439D"/>
    <w:rsid w:val="00B82A2C"/>
    <w:rsid w:val="00B83DA2"/>
    <w:rsid w:val="00B84155"/>
    <w:rsid w:val="00B91335"/>
    <w:rsid w:val="00B920E5"/>
    <w:rsid w:val="00B94F02"/>
    <w:rsid w:val="00B967EE"/>
    <w:rsid w:val="00B97423"/>
    <w:rsid w:val="00B97850"/>
    <w:rsid w:val="00BA3066"/>
    <w:rsid w:val="00BA37E1"/>
    <w:rsid w:val="00BB29EC"/>
    <w:rsid w:val="00BB4459"/>
    <w:rsid w:val="00BB5FF1"/>
    <w:rsid w:val="00BC27DC"/>
    <w:rsid w:val="00BC2B64"/>
    <w:rsid w:val="00BC2C47"/>
    <w:rsid w:val="00BC4CF0"/>
    <w:rsid w:val="00BC6331"/>
    <w:rsid w:val="00BD3FF1"/>
    <w:rsid w:val="00BD6A1D"/>
    <w:rsid w:val="00BF09AA"/>
    <w:rsid w:val="00BF0C8F"/>
    <w:rsid w:val="00BF15DE"/>
    <w:rsid w:val="00BF3804"/>
    <w:rsid w:val="00C00CD9"/>
    <w:rsid w:val="00C01865"/>
    <w:rsid w:val="00C07D39"/>
    <w:rsid w:val="00C17338"/>
    <w:rsid w:val="00C400EC"/>
    <w:rsid w:val="00C408F8"/>
    <w:rsid w:val="00C45B63"/>
    <w:rsid w:val="00C50DC5"/>
    <w:rsid w:val="00C60FD7"/>
    <w:rsid w:val="00C705B5"/>
    <w:rsid w:val="00C73289"/>
    <w:rsid w:val="00C76799"/>
    <w:rsid w:val="00C770A1"/>
    <w:rsid w:val="00C84DE1"/>
    <w:rsid w:val="00C8780F"/>
    <w:rsid w:val="00C90C5E"/>
    <w:rsid w:val="00C91AB6"/>
    <w:rsid w:val="00C95A7C"/>
    <w:rsid w:val="00CA476D"/>
    <w:rsid w:val="00CB073A"/>
    <w:rsid w:val="00CD27EE"/>
    <w:rsid w:val="00CE34FE"/>
    <w:rsid w:val="00CE5AA5"/>
    <w:rsid w:val="00CE65B4"/>
    <w:rsid w:val="00CF1019"/>
    <w:rsid w:val="00D0283D"/>
    <w:rsid w:val="00D030CC"/>
    <w:rsid w:val="00D03ACD"/>
    <w:rsid w:val="00D1461E"/>
    <w:rsid w:val="00D1730C"/>
    <w:rsid w:val="00D17AAB"/>
    <w:rsid w:val="00D20784"/>
    <w:rsid w:val="00D2260C"/>
    <w:rsid w:val="00D258B9"/>
    <w:rsid w:val="00D31E3E"/>
    <w:rsid w:val="00D53352"/>
    <w:rsid w:val="00D53E37"/>
    <w:rsid w:val="00D7686A"/>
    <w:rsid w:val="00D81A6D"/>
    <w:rsid w:val="00D83B1F"/>
    <w:rsid w:val="00D87A68"/>
    <w:rsid w:val="00D95D63"/>
    <w:rsid w:val="00DA64DE"/>
    <w:rsid w:val="00DA6D03"/>
    <w:rsid w:val="00DB229D"/>
    <w:rsid w:val="00DB2353"/>
    <w:rsid w:val="00DB4B02"/>
    <w:rsid w:val="00DB576E"/>
    <w:rsid w:val="00DB72EB"/>
    <w:rsid w:val="00DC024C"/>
    <w:rsid w:val="00DD474C"/>
    <w:rsid w:val="00DD5820"/>
    <w:rsid w:val="00DE7848"/>
    <w:rsid w:val="00E13664"/>
    <w:rsid w:val="00E170E2"/>
    <w:rsid w:val="00E201CC"/>
    <w:rsid w:val="00E31AD2"/>
    <w:rsid w:val="00E327E1"/>
    <w:rsid w:val="00E33BA4"/>
    <w:rsid w:val="00E36443"/>
    <w:rsid w:val="00E37F44"/>
    <w:rsid w:val="00E43F0C"/>
    <w:rsid w:val="00E515BE"/>
    <w:rsid w:val="00E529CB"/>
    <w:rsid w:val="00E64266"/>
    <w:rsid w:val="00E73027"/>
    <w:rsid w:val="00E7417E"/>
    <w:rsid w:val="00E8546B"/>
    <w:rsid w:val="00E858BB"/>
    <w:rsid w:val="00E93BE4"/>
    <w:rsid w:val="00E96ED9"/>
    <w:rsid w:val="00EA4F77"/>
    <w:rsid w:val="00EA59F5"/>
    <w:rsid w:val="00EB3578"/>
    <w:rsid w:val="00EC2F22"/>
    <w:rsid w:val="00EC3D46"/>
    <w:rsid w:val="00EC55B6"/>
    <w:rsid w:val="00ED0822"/>
    <w:rsid w:val="00ED4A15"/>
    <w:rsid w:val="00ED5A72"/>
    <w:rsid w:val="00ED6B42"/>
    <w:rsid w:val="00ED6E66"/>
    <w:rsid w:val="00ED7A7D"/>
    <w:rsid w:val="00EE3EC0"/>
    <w:rsid w:val="00EE55B2"/>
    <w:rsid w:val="00EE5D7B"/>
    <w:rsid w:val="00EF2DD8"/>
    <w:rsid w:val="00EF461A"/>
    <w:rsid w:val="00EF78BE"/>
    <w:rsid w:val="00F011B1"/>
    <w:rsid w:val="00F129AB"/>
    <w:rsid w:val="00F155B0"/>
    <w:rsid w:val="00F24B2C"/>
    <w:rsid w:val="00F264FC"/>
    <w:rsid w:val="00F36E46"/>
    <w:rsid w:val="00F441FD"/>
    <w:rsid w:val="00F51F23"/>
    <w:rsid w:val="00F612F7"/>
    <w:rsid w:val="00F72A14"/>
    <w:rsid w:val="00F848DD"/>
    <w:rsid w:val="00F930B1"/>
    <w:rsid w:val="00FB0B42"/>
    <w:rsid w:val="00FB287D"/>
    <w:rsid w:val="00FB427A"/>
    <w:rsid w:val="00FB4B18"/>
    <w:rsid w:val="00FB5F2E"/>
    <w:rsid w:val="00FB68EB"/>
    <w:rsid w:val="00FC112A"/>
    <w:rsid w:val="00FC4693"/>
    <w:rsid w:val="00FC6DE7"/>
    <w:rsid w:val="00FD07B4"/>
    <w:rsid w:val="00FD7AE5"/>
    <w:rsid w:val="00FE5B56"/>
    <w:rsid w:val="00FE5C85"/>
    <w:rsid w:val="00FE7B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AF8"/>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c.go.kr/eng/pr010101/83126?srchCtgry=&amp;curPage=&amp;srchKey=&amp;srchText=&amp;srchBeginDt=&amp;srchEndDt=" TargetMode="External"/><Relationship Id="rId13" Type="http://schemas.openxmlformats.org/officeDocument/2006/relationships/hyperlink" Target="https://www.mas.gov.sg/-/media/mas-media-library/news/media-releases/2024/imc-report.pdf" TargetMode="External"/><Relationship Id="rId18" Type="http://schemas.openxmlformats.org/officeDocument/2006/relationships/hyperlink" Target="https://www.mas.gov.sg/-/media/mas-media-library/publications/consultations/amld/2024/dtsp-consultation---final-for-publicatio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ec.gov/newsroom/press-releases/2024-166" TargetMode="External"/><Relationship Id="rId7" Type="http://schemas.openxmlformats.org/officeDocument/2006/relationships/hyperlink" Target="https://tax.gov.ae/Datafolder/Files/Legislation/Executive%20Regulation%20of%20Federal%20Decree%20Law%20No%208%20of%202017%20-%20Publish%20-%2004%2010%202024.pdf" TargetMode="External"/><Relationship Id="rId12" Type="http://schemas.openxmlformats.org/officeDocument/2006/relationships/hyperlink" Target="https://www.justice.gov/opa/pr/justice-department-and-federal-trade-commission-meet-g7-enforcement-partners-rome-discuss" TargetMode="External"/><Relationship Id="rId17" Type="http://schemas.openxmlformats.org/officeDocument/2006/relationships/hyperlink" Target="https://www.mas.gov.sg/-/media/mas-media-library/publications/consultations/amld/2024/dtsp-consultation---final-for-publication.pdf" TargetMode="External"/><Relationship Id="rId25" Type="http://schemas.openxmlformats.org/officeDocument/2006/relationships/hyperlink" Target="mailto:unsubscribe@charltonslaw.com?subject=unsubscribe%20-Hong%20Kong%20Law-" TargetMode="External"/><Relationship Id="rId2" Type="http://schemas.openxmlformats.org/officeDocument/2006/relationships/numbering" Target="numbering.xml"/><Relationship Id="rId16" Type="http://schemas.openxmlformats.org/officeDocument/2006/relationships/hyperlink" Target="https://www.cftc.gov/PressRoom/PressReleases/8996-24" TargetMode="External"/><Relationship Id="rId20" Type="http://schemas.openxmlformats.org/officeDocument/2006/relationships/hyperlink" Target="https://www.sec.gov/files/litigation/complaints/2024/comp-pr2024-166-cls.pdf" TargetMode="External"/><Relationship Id="rId1" Type="http://schemas.openxmlformats.org/officeDocument/2006/relationships/customXml" Target="../customXml/item1.xml"/><Relationship Id="rId6" Type="http://schemas.openxmlformats.org/officeDocument/2006/relationships/hyperlink" Target="https://tax.gov.ae/Datafolder/Files/Legislation/Executive%20Regulation%20of%20Federal%20Decree%20Law%20No%208%20of%202017%20-%20Publish%20-%2004%2010%202024.pdf" TargetMode="External"/><Relationship Id="rId11" Type="http://schemas.openxmlformats.org/officeDocument/2006/relationships/hyperlink" Target="https://en.agcm.it/dotcmsdoc/pressrelease/G7%202024%20-%20Digital%20Competition%20Communiqu%C3%A9.pdf" TargetMode="External"/><Relationship Id="rId24" Type="http://schemas.openxmlformats.org/officeDocument/2006/relationships/hyperlink" Target="https://www.sec.gov/newsroom/press-releases/2024-166" TargetMode="External"/><Relationship Id="rId5" Type="http://schemas.openxmlformats.org/officeDocument/2006/relationships/webSettings" Target="webSettings.xml"/><Relationship Id="rId15" Type="http://schemas.openxmlformats.org/officeDocument/2006/relationships/hyperlink" Target="https://www.mas.gov.sg/news/media-releases/2024/singapore-refreshes-the-tf-nra-and-national-strategy-for-cft" TargetMode="External"/><Relationship Id="rId23" Type="http://schemas.openxmlformats.org/officeDocument/2006/relationships/hyperlink" Target="https://www.sec.gov/files/litigation/complaints/2024/comp-pr2024-166-zm-quant.pdf" TargetMode="External"/><Relationship Id="rId10" Type="http://schemas.openxmlformats.org/officeDocument/2006/relationships/hyperlink" Target="https://en.agcm.it/dotcmsdoc/pressrelease/G7%202024%20-%20Digital%20Competition%20Communiqu%C3%A9.pdf" TargetMode="External"/><Relationship Id="rId19" Type="http://schemas.openxmlformats.org/officeDocument/2006/relationships/hyperlink" Target="https://www.sec.gov/files/litigation/complaints/2024/comp-pr2024-166-cls.pdf" TargetMode="External"/><Relationship Id="rId4" Type="http://schemas.openxmlformats.org/officeDocument/2006/relationships/settings" Target="settings.xml"/><Relationship Id="rId9" Type="http://schemas.openxmlformats.org/officeDocument/2006/relationships/hyperlink" Target="https://www.hkvax.com/news/detail?diffId=1828727641257852928" TargetMode="External"/><Relationship Id="rId14" Type="http://schemas.openxmlformats.org/officeDocument/2006/relationships/hyperlink" Target="https://www.mas.gov.sg/-/media/mas-media-library/news/media-releases/2024/imc-report.pdf" TargetMode="External"/><Relationship Id="rId22" Type="http://schemas.openxmlformats.org/officeDocument/2006/relationships/hyperlink" Target="https://www.sec.gov/files/litigation/complaints/2024/comp-pr2024-166-zm-quant.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7287</Words>
  <Characters>41540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15</cp:revision>
  <dcterms:created xsi:type="dcterms:W3CDTF">2024-10-07T09:44:00Z</dcterms:created>
  <dcterms:modified xsi:type="dcterms:W3CDTF">2024-10-11T14:35:00Z</dcterms:modified>
</cp:coreProperties>
</file>