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DFD8E" w14:textId="419411D3" w:rsidR="00B4763A" w:rsidRPr="006874F7" w:rsidRDefault="00B4763A" w:rsidP="00B4763A">
      <w:pPr>
        <w:shd w:val="clear" w:color="auto" w:fill="000000"/>
        <w:spacing w:after="200"/>
        <w:jc w:val="center"/>
        <w:rPr>
          <w:rFonts w:ascii="Arial" w:eastAsia="Cambria" w:hAnsi="Arial" w:cs="Arial"/>
          <w:color w:val="FFFFFF"/>
          <w:lang w:val="en-GB"/>
        </w:rPr>
      </w:pPr>
      <w:r w:rsidRPr="006874F7">
        <w:rPr>
          <w:rFonts w:ascii="Arial" w:eastAsia="Cambria" w:hAnsi="Arial" w:cs="Arial"/>
          <w:color w:val="FFFFFF"/>
          <w:lang w:val="en-GB"/>
        </w:rPr>
        <w:t>Charltons</w:t>
      </w:r>
      <w:r w:rsidR="00840613" w:rsidRPr="006874F7">
        <w:rPr>
          <w:rFonts w:ascii="Arial" w:eastAsia="Cambria" w:hAnsi="Arial" w:cs="Arial"/>
          <w:color w:val="FFFFFF"/>
          <w:lang w:val="en-GB"/>
        </w:rPr>
        <w:t xml:space="preserve"> Quantum</w:t>
      </w:r>
      <w:r w:rsidR="00496C17">
        <w:rPr>
          <w:rFonts w:ascii="Arial" w:eastAsia="Cambria" w:hAnsi="Arial" w:cs="Arial"/>
          <w:color w:val="FFFFFF"/>
          <w:lang w:val="en-GB"/>
        </w:rPr>
        <w:t xml:space="preserve"> </w:t>
      </w:r>
      <w:r w:rsidR="00840613" w:rsidRPr="006874F7">
        <w:rPr>
          <w:rFonts w:ascii="Arial" w:eastAsia="Cambria" w:hAnsi="Arial" w:cs="Arial"/>
          <w:color w:val="FFFFFF"/>
          <w:lang w:val="en-GB"/>
        </w:rPr>
        <w:t xml:space="preserve">– </w:t>
      </w:r>
      <w:r w:rsidR="00EA4F77">
        <w:rPr>
          <w:rFonts w:ascii="Arial" w:eastAsia="Cambria" w:hAnsi="Arial" w:cs="Arial"/>
          <w:color w:val="FFFFFF"/>
          <w:lang w:val="en-GB"/>
        </w:rPr>
        <w:t>Quantum</w:t>
      </w:r>
      <w:r w:rsidR="00840613" w:rsidRPr="006874F7">
        <w:rPr>
          <w:rFonts w:ascii="Arial" w:eastAsia="Cambria" w:hAnsi="Arial" w:cs="Arial"/>
          <w:color w:val="FFFFFF"/>
          <w:lang w:val="en-GB"/>
        </w:rPr>
        <w:t xml:space="preserve"> Updates</w:t>
      </w:r>
      <w:r w:rsidRPr="006874F7">
        <w:rPr>
          <w:rFonts w:ascii="Arial" w:eastAsia="Cambria" w:hAnsi="Arial" w:cs="Arial"/>
          <w:color w:val="FFFFFF"/>
          <w:lang w:val="en-GB"/>
        </w:rPr>
        <w:t xml:space="preserve"> </w:t>
      </w:r>
      <w:r w:rsidR="008A3161">
        <w:rPr>
          <w:rFonts w:ascii="Arial" w:eastAsia="Cambria" w:hAnsi="Arial" w:cs="Arial"/>
          <w:color w:val="FFFFFF"/>
          <w:lang w:val="en-GB"/>
        </w:rPr>
        <w:t>3</w:t>
      </w:r>
      <w:r w:rsidR="00574108">
        <w:rPr>
          <w:rFonts w:ascii="Arial" w:eastAsia="Cambria" w:hAnsi="Arial" w:cs="Arial"/>
          <w:color w:val="FFFFFF"/>
          <w:lang w:val="en-GB"/>
        </w:rPr>
        <w:t>2</w:t>
      </w:r>
      <w:r w:rsidR="00496C17">
        <w:rPr>
          <w:rFonts w:ascii="Arial" w:eastAsia="Cambria" w:hAnsi="Arial" w:cs="Arial"/>
          <w:color w:val="FFFFFF"/>
          <w:lang w:val="en-GB"/>
        </w:rPr>
        <w:t xml:space="preserve"> </w:t>
      </w:r>
      <w:r w:rsidRPr="006874F7">
        <w:rPr>
          <w:rFonts w:ascii="Arial" w:eastAsia="Cambria" w:hAnsi="Arial" w:cs="Arial"/>
          <w:color w:val="FFFFFF"/>
          <w:lang w:val="en-GB"/>
        </w:rPr>
        <w:t xml:space="preserve">– </w:t>
      </w:r>
      <w:r w:rsidR="00574108">
        <w:rPr>
          <w:rFonts w:ascii="Arial" w:eastAsia="Cambria" w:hAnsi="Arial" w:cs="Arial"/>
          <w:color w:val="FFFFFF"/>
          <w:lang w:val="en-GB"/>
        </w:rPr>
        <w:t>February</w:t>
      </w:r>
      <w:r w:rsidRPr="006874F7">
        <w:rPr>
          <w:rFonts w:ascii="Arial" w:eastAsia="Cambria" w:hAnsi="Arial" w:cs="Arial"/>
          <w:color w:val="FFFFFF"/>
          <w:lang w:val="en-GB"/>
        </w:rPr>
        <w:t xml:space="preserve"> 202</w:t>
      </w:r>
      <w:r w:rsidR="00F97FC1">
        <w:rPr>
          <w:rFonts w:ascii="Arial" w:eastAsia="Cambria" w:hAnsi="Arial" w:cs="Arial"/>
          <w:color w:val="FFFFFF"/>
          <w:lang w:val="en-GB"/>
        </w:rPr>
        <w:t>5</w:t>
      </w:r>
    </w:p>
    <w:p w14:paraId="5EF4FE96" w14:textId="7FF5FEE4" w:rsidR="00B4763A" w:rsidRPr="005B0584" w:rsidRDefault="005B0584" w:rsidP="00B4763A">
      <w:pPr>
        <w:spacing w:after="200"/>
        <w:jc w:val="center"/>
        <w:rPr>
          <w:rStyle w:val="Hyperlink"/>
          <w:rFonts w:ascii="Arial" w:eastAsia="Cambria" w:hAnsi="Arial" w:cs="Arial"/>
          <w:sz w:val="28"/>
          <w:szCs w:val="24"/>
          <w:lang w:val="en-GB"/>
        </w:rPr>
      </w:pPr>
      <w:r>
        <w:rPr>
          <w:rFonts w:ascii="Arial" w:eastAsia="Cambria" w:hAnsi="Arial" w:cs="Arial"/>
          <w:sz w:val="28"/>
          <w:szCs w:val="24"/>
          <w:lang w:val="en-GB"/>
        </w:rPr>
        <w:fldChar w:fldCharType="begin"/>
      </w:r>
      <w:r w:rsidR="007F3BEB">
        <w:rPr>
          <w:rFonts w:ascii="Arial" w:eastAsia="Cambria" w:hAnsi="Arial" w:cs="Arial"/>
          <w:sz w:val="28"/>
          <w:szCs w:val="24"/>
          <w:lang w:val="en-GB"/>
        </w:rPr>
        <w:instrText>HYPERLINK "https://charltonsquantum.com/quantum-updates-32-sec-commissioner-peirce-crypto-regulation-task-force/"</w:instrText>
      </w:r>
      <w:r w:rsidR="007F3BEB">
        <w:rPr>
          <w:rFonts w:ascii="Arial" w:eastAsia="Cambria" w:hAnsi="Arial" w:cs="Arial"/>
          <w:sz w:val="28"/>
          <w:szCs w:val="24"/>
          <w:lang w:val="en-GB"/>
        </w:rPr>
      </w:r>
      <w:r>
        <w:rPr>
          <w:rFonts w:ascii="Arial" w:eastAsia="Cambria" w:hAnsi="Arial" w:cs="Arial"/>
          <w:sz w:val="28"/>
          <w:szCs w:val="24"/>
          <w:lang w:val="en-GB"/>
        </w:rPr>
        <w:fldChar w:fldCharType="separate"/>
      </w:r>
      <w:r w:rsidR="00B4763A" w:rsidRPr="005B0584">
        <w:rPr>
          <w:rStyle w:val="Hyperlink"/>
          <w:rFonts w:ascii="Arial" w:eastAsia="Cambria" w:hAnsi="Arial" w:cs="Arial"/>
          <w:sz w:val="28"/>
          <w:szCs w:val="24"/>
          <w:lang w:val="en-GB"/>
        </w:rPr>
        <w:t>Online version</w:t>
      </w:r>
    </w:p>
    <w:p w14:paraId="77D79DB3" w14:textId="658E9293" w:rsidR="001B7EA8" w:rsidRDefault="005B0584" w:rsidP="0031285F">
      <w:pPr>
        <w:spacing w:after="200"/>
        <w:rPr>
          <w:b/>
          <w:bCs/>
          <w:color w:val="FF6E00"/>
          <w:lang w:val="en-PH"/>
        </w:rPr>
      </w:pPr>
      <w:r>
        <w:rPr>
          <w:rFonts w:ascii="Arial" w:eastAsia="Cambria" w:hAnsi="Arial" w:cs="Arial"/>
          <w:sz w:val="28"/>
          <w:szCs w:val="24"/>
          <w:lang w:val="en-GB"/>
        </w:rPr>
        <w:fldChar w:fldCharType="end"/>
      </w:r>
    </w:p>
    <w:p w14:paraId="61359718" w14:textId="77777777" w:rsidR="00193F55" w:rsidRPr="00193F55" w:rsidRDefault="00193F55" w:rsidP="00654900">
      <w:pPr>
        <w:rPr>
          <w:b/>
          <w:bCs/>
          <w:color w:val="FF6E00"/>
          <w:lang w:val="en-PH"/>
        </w:rPr>
      </w:pPr>
      <w:r w:rsidRPr="00193F55">
        <w:rPr>
          <w:b/>
          <w:bCs/>
          <w:color w:val="FF6E00"/>
          <w:lang w:val="en-PH"/>
        </w:rPr>
        <w:t>US SEC Commissioner Peirce: ‘The Journey Begins’ for Crypto Regulation with Crypto Task Force Initiative</w:t>
      </w:r>
    </w:p>
    <w:p w14:paraId="35571F05" w14:textId="77777777" w:rsidR="00FE78DC" w:rsidRPr="00FE78DC" w:rsidRDefault="00FE78DC" w:rsidP="00FE78DC">
      <w:pPr>
        <w:jc w:val="both"/>
        <w:rPr>
          <w:rFonts w:eastAsia="Times New Roman"/>
          <w:bCs/>
          <w:lang w:val="en-PH"/>
        </w:rPr>
      </w:pPr>
      <w:r w:rsidRPr="00FE78DC">
        <w:rPr>
          <w:rFonts w:eastAsia="Times New Roman"/>
          <w:bCs/>
          <w:lang w:val="en-PH"/>
        </w:rPr>
        <w:t>On 04 February 2025, United States Securities and Exchange Commission (</w:t>
      </w:r>
      <w:r w:rsidRPr="00FE78DC">
        <w:rPr>
          <w:rFonts w:eastAsia="Times New Roman"/>
          <w:b/>
          <w:bCs/>
          <w:lang w:val="en-PH"/>
        </w:rPr>
        <w:t>US SEC</w:t>
      </w:r>
      <w:r w:rsidRPr="00FE78DC">
        <w:rPr>
          <w:rFonts w:eastAsia="Times New Roman"/>
          <w:bCs/>
          <w:lang w:val="en-PH"/>
        </w:rPr>
        <w:t>) Commissioner Hester M. Peirce delivered a speech titled </w:t>
      </w:r>
      <w:hyperlink r:id="rId6" w:tgtFrame="_blank" w:history="1">
        <w:r w:rsidRPr="00FE78DC">
          <w:rPr>
            <w:rStyle w:val="Hyperlink"/>
            <w:rFonts w:eastAsia="Times New Roman"/>
            <w:bCs/>
            <w:i/>
            <w:iCs/>
            <w:color w:val="FF6E00"/>
            <w:u w:val="none"/>
            <w:lang w:val="en-PH"/>
          </w:rPr>
          <w:t>The Journey Begins</w:t>
        </w:r>
      </w:hyperlink>
      <w:r w:rsidRPr="00FE78DC">
        <w:rPr>
          <w:rFonts w:eastAsia="Times New Roman"/>
          <w:bCs/>
          <w:lang w:val="en-PH"/>
        </w:rPr>
        <w:t>, where she discussed the launch of the US SEC’s Crypto Task Force and its commitment to establishing a structured and transparent framework for the crypto industry. She addressed past regulatory inconsistencies, enforcement-driven oversight, and the need for a clearer regulatory approach that fosters innovation while ensuring investor protection.</w:t>
      </w:r>
    </w:p>
    <w:p w14:paraId="6A4DC893" w14:textId="77777777" w:rsidR="00FE78DC" w:rsidRPr="00FE78DC" w:rsidRDefault="00FE78DC" w:rsidP="00FE78DC">
      <w:pPr>
        <w:jc w:val="both"/>
        <w:rPr>
          <w:rFonts w:eastAsia="Times New Roman"/>
          <w:bCs/>
          <w:lang w:val="en-PH"/>
        </w:rPr>
      </w:pPr>
      <w:r w:rsidRPr="00FE78DC">
        <w:rPr>
          <w:rFonts w:eastAsia="Times New Roman"/>
          <w:bCs/>
          <w:lang w:val="en-PH"/>
        </w:rPr>
        <w:t>Peirce compared the past decade of crypto regulation to an unplanned road trip, where the agency lacked clear direction, resulting in legal ambiguity and numerous enforcement actions. She expressed confidence that the newly formed Crypto Task Force would take a more structured path, collaborating with experts across various regulatory bodies to address the challenges posed by digital assets. Her remarks made clear that the objective is to create an environment where innovation can thrive while maintaining investor protection and compliance with existing laws.</w:t>
      </w:r>
    </w:p>
    <w:p w14:paraId="45148D5D" w14:textId="77777777" w:rsidR="00FE78DC" w:rsidRPr="00FE78DC" w:rsidRDefault="00FE78DC" w:rsidP="00FE78DC">
      <w:pPr>
        <w:jc w:val="both"/>
        <w:rPr>
          <w:rFonts w:eastAsia="Times New Roman"/>
          <w:bCs/>
          <w:lang w:val="en-PH"/>
        </w:rPr>
      </w:pPr>
      <w:r w:rsidRPr="00FE78DC">
        <w:rPr>
          <w:rFonts w:eastAsia="Times New Roman"/>
          <w:bCs/>
          <w:lang w:val="en-PH"/>
        </w:rPr>
        <w:t xml:space="preserve">Clarifying that her views were personal and not necessarily reflective of the </w:t>
      </w:r>
      <w:proofErr w:type="gramStart"/>
      <w:r w:rsidRPr="00FE78DC">
        <w:rPr>
          <w:rFonts w:eastAsia="Times New Roman"/>
          <w:bCs/>
          <w:lang w:val="en-PH"/>
        </w:rPr>
        <w:t>US SEC as a whole, Peirce</w:t>
      </w:r>
      <w:proofErr w:type="gramEnd"/>
      <w:r w:rsidRPr="00FE78DC">
        <w:rPr>
          <w:rFonts w:eastAsia="Times New Roman"/>
          <w:bCs/>
          <w:lang w:val="en-PH"/>
        </w:rPr>
        <w:t xml:space="preserve"> acknowledged that the regulatory landscape had become increasingly complex due to years of fragmented engagement. The first bitcoin exchange-traded product application reached the US SEC in 2013, alongside the agency’s initial enforcement action involving crypto. The 2017 issuance of the DAO Section 21(a) report marked the first application of the Howey test to digital assets, shaping the agency’s regulatory stance. Despite these developments, legal uncertainty persisted, leaving many cases in litigation and regulatory questions unresolved.</w:t>
      </w:r>
    </w:p>
    <w:p w14:paraId="407FFA15" w14:textId="77777777" w:rsidR="00FE78DC" w:rsidRPr="00FE78DC" w:rsidRDefault="00FE78DC" w:rsidP="00FE78DC">
      <w:pPr>
        <w:jc w:val="both"/>
        <w:rPr>
          <w:rFonts w:eastAsia="Times New Roman"/>
          <w:bCs/>
          <w:lang w:val="en-PH"/>
        </w:rPr>
      </w:pPr>
      <w:r w:rsidRPr="00FE78DC">
        <w:rPr>
          <w:rFonts w:eastAsia="Times New Roman"/>
          <w:bCs/>
          <w:lang w:val="en-PH"/>
        </w:rPr>
        <w:t>The Task Force aims to establish a regulatory framework that allows industry participants to innovate while ensuring safeguards against fraudulent activities. Peirce stated that the agency would work within its statutory limits while identifying areas where Congressional intervention may be needed. She made it clear that while the US SEC is committed to oversight, it does not endorse specific crypto assets or projects and cautioned investors against expecting government intervention in speculative investments.</w:t>
      </w:r>
    </w:p>
    <w:p w14:paraId="08A9D48B" w14:textId="77777777" w:rsidR="00FE78DC" w:rsidRPr="00FE78DC" w:rsidRDefault="00FE78DC" w:rsidP="00FE78DC">
      <w:pPr>
        <w:jc w:val="both"/>
        <w:rPr>
          <w:rFonts w:eastAsia="Times New Roman"/>
          <w:bCs/>
          <w:lang w:val="en-PH"/>
        </w:rPr>
      </w:pPr>
      <w:r w:rsidRPr="00FE78DC">
        <w:rPr>
          <w:rFonts w:eastAsia="Times New Roman"/>
          <w:bCs/>
          <w:lang w:val="en-PH"/>
        </w:rPr>
        <w:t>Peirce outlined several focus areas for the Task Force, including defining the security status of crypto assets under existing laws, identifying aspects beyond the agency’s jurisdiction, and providing interim relief for coin and token offerings facing legal uncertainty. The agency is reviewing modifications to regulatory pathways such as US SEC </w:t>
      </w:r>
      <w:hyperlink r:id="rId7" w:anchor=":~:text=Regulation%20A%20is%20an%20exemption,in%20a%2012%2Dmonth%20period" w:tgtFrame="_blank" w:history="1">
        <w:r w:rsidRPr="00FE78DC">
          <w:rPr>
            <w:rStyle w:val="Hyperlink"/>
            <w:rFonts w:eastAsia="Times New Roman"/>
            <w:bCs/>
            <w:color w:val="FF6E00"/>
            <w:u w:val="none"/>
            <w:lang w:val="en-PH"/>
          </w:rPr>
          <w:t>Regulation A</w:t>
        </w:r>
      </w:hyperlink>
      <w:r w:rsidRPr="00FE78DC">
        <w:rPr>
          <w:rFonts w:eastAsia="Times New Roman"/>
          <w:bCs/>
          <w:lang w:val="en-PH"/>
        </w:rPr>
        <w:t> and crowdfunding to facilitate compliant token offerings. Special-purpose broker-dealer regulations are also under examination to expand custody options for digital assets, while investment advisers will receive clearer guidelines on handling crypto asset custody.</w:t>
      </w:r>
    </w:p>
    <w:p w14:paraId="764B94F6" w14:textId="77777777" w:rsidR="00FE78DC" w:rsidRPr="00FE78DC" w:rsidRDefault="00FE78DC" w:rsidP="00FE78DC">
      <w:pPr>
        <w:jc w:val="both"/>
        <w:rPr>
          <w:rFonts w:eastAsia="Times New Roman"/>
          <w:bCs/>
          <w:lang w:val="en-PH"/>
        </w:rPr>
      </w:pPr>
      <w:r w:rsidRPr="00FE78DC">
        <w:rPr>
          <w:rFonts w:eastAsia="Times New Roman"/>
          <w:bCs/>
          <w:lang w:val="en-PH"/>
        </w:rPr>
        <w:t xml:space="preserve">Other regulatory priorities involve establishing a clear approach to crypto-lending and staking programs, refining the approval process for crypto exchange-traded products, and addressing the role of clearing agencies and transfer agents in digital asset transactions. Acknowledging the global nature of the crypto </w:t>
      </w:r>
      <w:r w:rsidRPr="00FE78DC">
        <w:rPr>
          <w:rFonts w:eastAsia="Times New Roman"/>
          <w:bCs/>
          <w:lang w:val="en-PH"/>
        </w:rPr>
        <w:lastRenderedPageBreak/>
        <w:t>market, the Task Force is also exploring the potential for cross-border regulatory sandboxes to foster international collaboration on emerging digital asset technologies.</w:t>
      </w:r>
    </w:p>
    <w:p w14:paraId="4C9E919C" w14:textId="77777777" w:rsidR="00FE78DC" w:rsidRPr="00FE78DC" w:rsidRDefault="00FE78DC" w:rsidP="00FE78DC">
      <w:pPr>
        <w:jc w:val="both"/>
        <w:rPr>
          <w:rFonts w:eastAsia="Times New Roman"/>
          <w:bCs/>
          <w:lang w:val="en-PH"/>
        </w:rPr>
      </w:pPr>
      <w:r w:rsidRPr="00FE78DC">
        <w:rPr>
          <w:rFonts w:eastAsia="Times New Roman"/>
          <w:bCs/>
          <w:lang w:val="en-PH"/>
        </w:rPr>
        <w:t>The timeline for these efforts remains uncertain, with Peirce acknowledging the complexity of undoing past regulatory missteps and resolving ongoing litigation. She urged patience from stakeholders, affirming that the Task Force intends to take an organised and legally sound approach. Progress has already begun, including the rescission of Staff Accounting Bulletin 121, but much remains to be done before a fully defined regulatory framework can be achieved.</w:t>
      </w:r>
    </w:p>
    <w:p w14:paraId="7A44EB67" w14:textId="77777777" w:rsidR="00FE78DC" w:rsidRPr="00FE78DC" w:rsidRDefault="00FE78DC" w:rsidP="00FE78DC">
      <w:pPr>
        <w:jc w:val="both"/>
        <w:rPr>
          <w:rFonts w:eastAsia="Times New Roman"/>
          <w:bCs/>
          <w:lang w:val="en-PH"/>
        </w:rPr>
      </w:pPr>
      <w:r w:rsidRPr="00FE78DC">
        <w:rPr>
          <w:rFonts w:eastAsia="Times New Roman"/>
          <w:bCs/>
          <w:lang w:val="en-PH"/>
        </w:rPr>
        <w:t>Peirce invited public participation in shaping crypto regulations, encouraging written submissions and engagement through scheduled meetings.</w:t>
      </w:r>
    </w:p>
    <w:p w14:paraId="4107D789" w14:textId="77777777" w:rsidR="00FE78DC" w:rsidRPr="00FE78DC" w:rsidRDefault="00FE78DC" w:rsidP="00654900">
      <w:pPr>
        <w:rPr>
          <w:rFonts w:eastAsia="Times New Roman"/>
          <w:bCs/>
          <w:lang w:val="en-PH"/>
        </w:rPr>
      </w:pPr>
      <w:r w:rsidRPr="00FE78DC">
        <w:rPr>
          <w:rFonts w:eastAsia="Times New Roman"/>
          <w:bCs/>
          <w:lang w:val="en-PH"/>
        </w:rPr>
        <w:t>(Source: </w:t>
      </w:r>
      <w:hyperlink r:id="rId8" w:tgtFrame="_blank" w:history="1">
        <w:r w:rsidRPr="00FE78DC">
          <w:rPr>
            <w:rStyle w:val="Hyperlink"/>
            <w:rFonts w:eastAsia="Times New Roman"/>
            <w:bCs/>
            <w:color w:val="FF6E00"/>
            <w:lang w:val="en-PH"/>
          </w:rPr>
          <w:t>https://www.sec.gov/newsroom/speeches-statements/peirce-journey-begins-020425</w:t>
        </w:r>
      </w:hyperlink>
      <w:r w:rsidRPr="00FE78DC">
        <w:rPr>
          <w:rFonts w:eastAsia="Times New Roman"/>
          <w:bCs/>
          <w:lang w:val="en-PH"/>
        </w:rPr>
        <w:t>)</w:t>
      </w:r>
    </w:p>
    <w:p w14:paraId="00679BD3" w14:textId="77777777" w:rsidR="00D3743D" w:rsidRDefault="00D3743D" w:rsidP="00643EFA">
      <w:pPr>
        <w:jc w:val="both"/>
        <w:rPr>
          <w:rFonts w:eastAsia="Times New Roman"/>
          <w:bCs/>
          <w:lang w:val="en-PH"/>
        </w:rPr>
      </w:pPr>
    </w:p>
    <w:p w14:paraId="0717E44E" w14:textId="77777777" w:rsidR="00193F55" w:rsidRPr="00193F55" w:rsidRDefault="00193F55" w:rsidP="00654900">
      <w:pPr>
        <w:rPr>
          <w:b/>
          <w:bCs/>
          <w:color w:val="FF6E00"/>
          <w:lang w:val="en-PH"/>
        </w:rPr>
      </w:pPr>
      <w:r w:rsidRPr="00193F55">
        <w:rPr>
          <w:b/>
          <w:bCs/>
          <w:color w:val="FF6E00"/>
          <w:lang w:val="en-PH"/>
        </w:rPr>
        <w:t>US SEC Approves NYSE Arca’s Rule Change for Listing and Trading of Bitwise Bitcoin and Ethereum ETF</w:t>
      </w:r>
    </w:p>
    <w:p w14:paraId="179B4734" w14:textId="77777777" w:rsidR="00083F90" w:rsidRPr="00083F90" w:rsidRDefault="00083F90" w:rsidP="00083F90">
      <w:pPr>
        <w:jc w:val="both"/>
        <w:rPr>
          <w:rFonts w:eastAsia="Times New Roman"/>
          <w:bCs/>
          <w:lang w:val="en-PH"/>
        </w:rPr>
      </w:pPr>
      <w:r w:rsidRPr="00083F90">
        <w:rPr>
          <w:rFonts w:eastAsia="Times New Roman"/>
          <w:bCs/>
          <w:lang w:val="en-PH"/>
        </w:rPr>
        <w:t>On 30 January 2025, the United States Securities and Exchange Commission (</w:t>
      </w:r>
      <w:r w:rsidRPr="00083F90">
        <w:rPr>
          <w:rFonts w:eastAsia="Times New Roman"/>
          <w:b/>
          <w:bCs/>
          <w:lang w:val="en-PH"/>
        </w:rPr>
        <w:t>US SEC</w:t>
      </w:r>
      <w:r w:rsidRPr="00083F90">
        <w:rPr>
          <w:rFonts w:eastAsia="Times New Roman"/>
          <w:bCs/>
          <w:lang w:val="en-PH"/>
        </w:rPr>
        <w:t>) granted accelerated approval to a proposed rule change filed by NYSE Arca, Inc. This approval permits the exchange to list and trade shares of the Bitwise Bitcoin and Ethereum ETF under NYSE Arca Rule 8.201-E, which governs Commodity-Based Trust Shares. The decision follows an Amendment No. 1 to the original proposal, ensuring compliance with US securities regulations and aligning with previous approvals of similar exchange-traded products (</w:t>
      </w:r>
      <w:r w:rsidRPr="00083F90">
        <w:rPr>
          <w:rFonts w:eastAsia="Times New Roman"/>
          <w:b/>
          <w:bCs/>
          <w:lang w:val="en-PH"/>
        </w:rPr>
        <w:t>ETPs</w:t>
      </w:r>
      <w:r w:rsidRPr="00083F90">
        <w:rPr>
          <w:rFonts w:eastAsia="Times New Roman"/>
          <w:bCs/>
          <w:lang w:val="en-PH"/>
        </w:rPr>
        <w:t>).</w:t>
      </w:r>
    </w:p>
    <w:p w14:paraId="3B07435F" w14:textId="77777777" w:rsidR="00083F90" w:rsidRPr="00083F90" w:rsidRDefault="00083F90" w:rsidP="00083F90">
      <w:pPr>
        <w:jc w:val="both"/>
        <w:rPr>
          <w:rFonts w:eastAsia="Times New Roman"/>
          <w:bCs/>
          <w:lang w:val="en-PH"/>
        </w:rPr>
      </w:pPr>
      <w:r w:rsidRPr="00083F90">
        <w:rPr>
          <w:rFonts w:eastAsia="Times New Roman"/>
          <w:bCs/>
          <w:lang w:val="en-PH"/>
        </w:rPr>
        <w:t>The order, published as </w:t>
      </w:r>
      <w:hyperlink r:id="rId9" w:tgtFrame="_blank" w:history="1">
        <w:r w:rsidRPr="00083F90">
          <w:rPr>
            <w:rStyle w:val="Hyperlink"/>
            <w:rFonts w:eastAsia="Times New Roman"/>
            <w:bCs/>
            <w:color w:val="FF6E00"/>
            <w:u w:val="none"/>
            <w:lang w:val="en-PH"/>
          </w:rPr>
          <w:t>Release No. 34-102310</w:t>
        </w:r>
      </w:hyperlink>
      <w:r w:rsidRPr="00083F90">
        <w:rPr>
          <w:rFonts w:eastAsia="Times New Roman"/>
          <w:bCs/>
          <w:lang w:val="en-PH"/>
        </w:rPr>
        <w:t>, outlines the regulatory framework under which NYSE Arca will list and trade shares of the Bitwise Bitcoin and Ethereum ETF (Trust). The ETF will hold both spot bitcoin and spot ether, with asset allocation based on the relative market capitalisation of both cryptocurrencies. The Bitwise Bitcoin and Ethereum ETF’s objective is to provide investors with exposure to bitcoin and ether’s market value while managing operational expenses.</w:t>
      </w:r>
    </w:p>
    <w:p w14:paraId="20B0772B" w14:textId="77777777" w:rsidR="00083F90" w:rsidRPr="00083F90" w:rsidRDefault="00083F90" w:rsidP="00083F90">
      <w:pPr>
        <w:jc w:val="both"/>
        <w:rPr>
          <w:rFonts w:eastAsia="Times New Roman"/>
          <w:bCs/>
          <w:lang w:val="en-PH"/>
        </w:rPr>
      </w:pPr>
      <w:r w:rsidRPr="00083F90">
        <w:rPr>
          <w:rFonts w:eastAsia="Times New Roman"/>
          <w:bCs/>
          <w:lang w:val="en-PH"/>
        </w:rPr>
        <w:t>The Bitwise Bitcoin and Ethereum ETF’s assets will consist solely of bitcoin, ether, and cash. Its net asset value (</w:t>
      </w:r>
      <w:r w:rsidRPr="00083F90">
        <w:rPr>
          <w:rFonts w:eastAsia="Times New Roman"/>
          <w:b/>
          <w:bCs/>
          <w:lang w:val="en-PH"/>
        </w:rPr>
        <w:t>NAV</w:t>
      </w:r>
      <w:r w:rsidRPr="00083F90">
        <w:rPr>
          <w:rFonts w:eastAsia="Times New Roman"/>
          <w:bCs/>
          <w:lang w:val="en-PH"/>
        </w:rPr>
        <w:t>) will be calculated daily based on benchmark pricing indices. The ETF will operate as a cash-only creation and redemption model, meaning that shares will be issued and redeemed in exchange for cash rather than direct cryptocurrency transfers.</w:t>
      </w:r>
    </w:p>
    <w:p w14:paraId="2CD8766D" w14:textId="77777777" w:rsidR="00083F90" w:rsidRPr="00083F90" w:rsidRDefault="00083F90" w:rsidP="00083F90">
      <w:pPr>
        <w:jc w:val="both"/>
        <w:rPr>
          <w:rFonts w:eastAsia="Times New Roman"/>
          <w:bCs/>
          <w:lang w:val="en-PH"/>
        </w:rPr>
      </w:pPr>
      <w:r w:rsidRPr="00083F90">
        <w:rPr>
          <w:rFonts w:eastAsia="Times New Roman"/>
          <w:bCs/>
          <w:lang w:val="en-PH"/>
        </w:rPr>
        <w:t>NYSE Arca’s original rule change proposal was filed with the US SEC on 26 November 2024 and was published in the Federal Register on 16 December 2024 for public comment. On 21 January 2025, the exchange filed Amendment No. 1, providing additional details on the Trust’s structure, asset allocation, pricing mechanisms, and compliance measures. The US SEC reviewed these submissions and granted accelerated approval, citing alignment with previous approvals for spot bitcoin and ether ETPs. The approval is consistent with Section 6(b)(5) of the United States </w:t>
      </w:r>
      <w:hyperlink r:id="rId10" w:tgtFrame="_blank" w:history="1">
        <w:r w:rsidRPr="00083F90">
          <w:rPr>
            <w:rStyle w:val="Hyperlink"/>
            <w:rFonts w:eastAsia="Times New Roman"/>
            <w:bCs/>
            <w:color w:val="FF6E00"/>
            <w:u w:val="none"/>
            <w:lang w:val="en-PH"/>
          </w:rPr>
          <w:t>Securities Exchange Act of 1934</w:t>
        </w:r>
      </w:hyperlink>
      <w:r w:rsidRPr="00083F90">
        <w:rPr>
          <w:rFonts w:eastAsia="Times New Roman"/>
          <w:bCs/>
          <w:lang w:val="en-PH"/>
        </w:rPr>
        <w:t>, which requires exchanges to prevent fraudulent and manipulative acts and protect investors.</w:t>
      </w:r>
    </w:p>
    <w:p w14:paraId="07440A38" w14:textId="77777777" w:rsidR="00083F90" w:rsidRPr="00083F90" w:rsidRDefault="00083F90" w:rsidP="00083F90">
      <w:pPr>
        <w:jc w:val="both"/>
        <w:rPr>
          <w:rFonts w:eastAsia="Times New Roman"/>
          <w:bCs/>
          <w:lang w:val="en-PH"/>
        </w:rPr>
      </w:pPr>
      <w:r w:rsidRPr="00083F90">
        <w:rPr>
          <w:rFonts w:eastAsia="Times New Roman"/>
          <w:bCs/>
          <w:lang w:val="en-PH"/>
        </w:rPr>
        <w:t xml:space="preserve">The approval requires the ETF to comply with several regulatory conditions to ensure market integrity. The ETF’s bitcoin and ether holdings will be priced using the CME CF Bitcoin – New York Variant and CME CF Ether – Dollar Reference Rate – New York Variant benchmarks. Coinbase Custody Trust Company, LLC will serve as the custodian for bitcoin and ether holdings, while the Bank of New York Mellon will oversee </w:t>
      </w:r>
      <w:r w:rsidRPr="00083F90">
        <w:rPr>
          <w:rFonts w:eastAsia="Times New Roman"/>
          <w:bCs/>
          <w:lang w:val="en-PH"/>
        </w:rPr>
        <w:lastRenderedPageBreak/>
        <w:t>cash holdings, administration, and transfer agency services. The ETF will also be subject to NYSE Arca’s existing trading rules to prevent fraud and market manipulation.</w:t>
      </w:r>
    </w:p>
    <w:p w14:paraId="5848B8EB" w14:textId="77777777" w:rsidR="00083F90" w:rsidRPr="00083F90" w:rsidRDefault="00083F90" w:rsidP="00083F90">
      <w:pPr>
        <w:jc w:val="both"/>
        <w:rPr>
          <w:rFonts w:eastAsia="Times New Roman"/>
          <w:bCs/>
          <w:lang w:val="en-PH"/>
        </w:rPr>
      </w:pPr>
      <w:r w:rsidRPr="00083F90">
        <w:rPr>
          <w:rFonts w:eastAsia="Times New Roman"/>
          <w:bCs/>
          <w:lang w:val="en-PH"/>
        </w:rPr>
        <w:t>The US SEC justified the accelerated approval by stating that the proposal aligns with prior approvals for spot cryptocurrency ETPs. The commission concluded that NYSE Arca’s proposal met the necessary requirements, particularly regarding investor protection, fair trading practices, and regulatory oversight. The listing and trading of Bitwise Bitcoin and Ethereum ETF shares on NYSE Arca is now set to proceed, pending final operational steps by the exchange and fund issuer.</w:t>
      </w:r>
    </w:p>
    <w:p w14:paraId="78EB0082" w14:textId="77777777" w:rsidR="00083F90" w:rsidRPr="00083F90" w:rsidRDefault="00083F90" w:rsidP="00654900">
      <w:pPr>
        <w:rPr>
          <w:rFonts w:eastAsia="Times New Roman"/>
          <w:bCs/>
          <w:lang w:val="en-PH"/>
        </w:rPr>
      </w:pPr>
      <w:r w:rsidRPr="00083F90">
        <w:rPr>
          <w:rFonts w:eastAsia="Times New Roman"/>
          <w:bCs/>
          <w:lang w:val="en-PH"/>
        </w:rPr>
        <w:t>(Source: </w:t>
      </w:r>
      <w:hyperlink r:id="rId11" w:history="1">
        <w:r w:rsidRPr="00083F90">
          <w:rPr>
            <w:rStyle w:val="Hyperlink"/>
            <w:rFonts w:eastAsia="Times New Roman"/>
            <w:bCs/>
            <w:color w:val="FF6E00"/>
            <w:lang w:val="en-PH"/>
          </w:rPr>
          <w:t>https://www.sec.gov/files/rules/sro/nysearca/2025/34-102310.pdf</w:t>
        </w:r>
      </w:hyperlink>
      <w:r w:rsidRPr="00083F90">
        <w:rPr>
          <w:rFonts w:eastAsia="Times New Roman"/>
          <w:bCs/>
          <w:lang w:val="en-PH"/>
        </w:rPr>
        <w:t>)</w:t>
      </w:r>
    </w:p>
    <w:p w14:paraId="7D9C955C" w14:textId="77777777" w:rsidR="00665A32" w:rsidRDefault="00665A32" w:rsidP="00643EFA">
      <w:pPr>
        <w:jc w:val="both"/>
        <w:rPr>
          <w:rFonts w:eastAsia="Times New Roman"/>
          <w:bCs/>
          <w:lang w:val="en-PH"/>
        </w:rPr>
      </w:pPr>
    </w:p>
    <w:p w14:paraId="2CBCAD43" w14:textId="77777777" w:rsidR="00193F55" w:rsidRPr="00193F55" w:rsidRDefault="00193F55" w:rsidP="00654900">
      <w:pPr>
        <w:rPr>
          <w:b/>
          <w:bCs/>
          <w:color w:val="FF6E00"/>
          <w:lang w:val="en-PH"/>
        </w:rPr>
      </w:pPr>
      <w:r w:rsidRPr="00193F55">
        <w:rPr>
          <w:b/>
          <w:bCs/>
          <w:color w:val="FF6E00"/>
          <w:lang w:val="en-PH"/>
        </w:rPr>
        <w:t>Singapore MAS Published Monetary Policy Statement – January 2025</w:t>
      </w:r>
    </w:p>
    <w:p w14:paraId="569D3456" w14:textId="77777777" w:rsidR="00F05CC7" w:rsidRPr="00F05CC7" w:rsidRDefault="00F05CC7" w:rsidP="00F05CC7">
      <w:pPr>
        <w:jc w:val="both"/>
        <w:rPr>
          <w:rFonts w:eastAsia="Times New Roman"/>
          <w:bCs/>
          <w:lang w:val="en-PH"/>
        </w:rPr>
      </w:pPr>
      <w:r w:rsidRPr="00F05CC7">
        <w:rPr>
          <w:rFonts w:eastAsia="Times New Roman"/>
          <w:bCs/>
          <w:lang w:val="en-PH"/>
        </w:rPr>
        <w:t>On 24 January 2025, the Monetary Authority of Singapore (</w:t>
      </w:r>
      <w:r w:rsidRPr="00F05CC7">
        <w:rPr>
          <w:rFonts w:eastAsia="Times New Roman"/>
          <w:b/>
          <w:bCs/>
          <w:lang w:val="en-PH"/>
        </w:rPr>
        <w:t>MAS</w:t>
      </w:r>
      <w:r w:rsidRPr="00F05CC7">
        <w:rPr>
          <w:rFonts w:eastAsia="Times New Roman"/>
          <w:bCs/>
          <w:lang w:val="en-PH"/>
        </w:rPr>
        <w:t>) announced a slight reduction in the slope of the Singapore dollar nominal effective exchange rate (</w:t>
      </w:r>
      <w:r w:rsidRPr="00F05CC7">
        <w:rPr>
          <w:rFonts w:eastAsia="Times New Roman"/>
          <w:b/>
          <w:bCs/>
          <w:lang w:val="en-PH"/>
        </w:rPr>
        <w:t>S$NEER</w:t>
      </w:r>
      <w:r w:rsidRPr="00F05CC7">
        <w:rPr>
          <w:rFonts w:eastAsia="Times New Roman"/>
          <w:bCs/>
          <w:lang w:val="en-PH"/>
        </w:rPr>
        <w:t>) policy band, as part of its </w:t>
      </w:r>
      <w:r w:rsidRPr="00F05CC7">
        <w:rPr>
          <w:rFonts w:eastAsia="Times New Roman"/>
          <w:bCs/>
          <w:i/>
          <w:iCs/>
          <w:lang w:val="en-PH"/>
        </w:rPr>
        <w:t>MAS Monetary Policy Statement – January 2025</w:t>
      </w:r>
      <w:r w:rsidRPr="00F05CC7">
        <w:rPr>
          <w:rFonts w:eastAsia="Times New Roman"/>
          <w:bCs/>
          <w:lang w:val="en-PH"/>
        </w:rPr>
        <w:t>. The decision was taken in response to slowing economic momentum and a sharper-than-expected moderation in core inflation. The adjustment aims to ensure medium-term price stability while supporting economic conditions amid evolving global trade dynamics and financial tightening.</w:t>
      </w:r>
    </w:p>
    <w:p w14:paraId="67EDABB8" w14:textId="77777777" w:rsidR="00F05CC7" w:rsidRPr="00F05CC7" w:rsidRDefault="00F05CC7" w:rsidP="00F05CC7">
      <w:pPr>
        <w:jc w:val="both"/>
        <w:rPr>
          <w:rFonts w:eastAsia="Times New Roman"/>
          <w:bCs/>
          <w:lang w:val="en-PH"/>
        </w:rPr>
      </w:pPr>
      <w:r w:rsidRPr="00F05CC7">
        <w:rPr>
          <w:rFonts w:eastAsia="Times New Roman"/>
          <w:bCs/>
          <w:lang w:val="en-PH"/>
        </w:rPr>
        <w:t>MAS stated that the Singapore economy grew at a slower pace in the fourth quarter of 2024, following a stronger-than-expected expansion in the previous quarter. Economic growth is projected to moderate further in 2025 due to shifts in global trade policies and external uncertainties. Inflationary pressures have eased, with MAS Core Inflation stepping down to 1.9% year-on-year in the fourth quarter of 2024, lower than the earlier estimate. The revised outlook for 2025 now projects core inflation to average between 1.0% and 2.0%, reflecting subdued business cost pressures and stable imported prices. Given these conditions, MAS has adjusted its monetary policy by slightly reducing the slope of the S$NEER policy band while keeping its width and centre unchanged.</w:t>
      </w:r>
    </w:p>
    <w:p w14:paraId="23E1A1F0" w14:textId="77777777" w:rsidR="00F05CC7" w:rsidRPr="00F05CC7" w:rsidRDefault="00F05CC7" w:rsidP="00F05CC7">
      <w:pPr>
        <w:jc w:val="both"/>
        <w:rPr>
          <w:rFonts w:eastAsia="Times New Roman"/>
          <w:bCs/>
          <w:lang w:val="en-PH"/>
        </w:rPr>
      </w:pPr>
      <w:r w:rsidRPr="00F05CC7">
        <w:rPr>
          <w:rFonts w:eastAsia="Times New Roman"/>
          <w:bCs/>
          <w:lang w:val="en-PH"/>
        </w:rPr>
        <w:t>Singapore’s monetary policy is unique in its use of the exchange rate rather than interest rates as the primary tool for managing inflation and economic stability. MAS manages the S$NEER within a policy band, adjusting the slope, width, and centre of the band as needed. The last policy review in October 2024 maintained the existing appreciation path, but since then, the Singapore dollar has eased against the US dollar amid broader US dollar strength while continuing to appreciate against other currencies in the S$NEER basket.</w:t>
      </w:r>
    </w:p>
    <w:p w14:paraId="220E43D7" w14:textId="77777777" w:rsidR="00F05CC7" w:rsidRPr="00F05CC7" w:rsidRDefault="00F05CC7" w:rsidP="00F05CC7">
      <w:pPr>
        <w:jc w:val="both"/>
        <w:rPr>
          <w:rFonts w:eastAsia="Times New Roman"/>
          <w:bCs/>
          <w:lang w:val="en-PH"/>
        </w:rPr>
      </w:pPr>
      <w:r w:rsidRPr="00F05CC7">
        <w:rPr>
          <w:rFonts w:eastAsia="Times New Roman"/>
          <w:bCs/>
          <w:lang w:val="en-PH"/>
        </w:rPr>
        <w:t>The decision to make a slight adjustment to the slope of the policy band reflects a changing economic landscape. Singapore’s economy saw stronger-than-expected performance in the second half of 2024, largely driven by trade-related sectors and financial services. However, global financial conditions have tightened, with trade policy frictions and inflation risks weighing on future growth prospects. While private consumption in advanced economies has remained resilient, global manufacturing and trade activity are expected to normalise, which could slow overall growth in 2025.</w:t>
      </w:r>
    </w:p>
    <w:p w14:paraId="184D45CE" w14:textId="77777777" w:rsidR="00F05CC7" w:rsidRPr="00F05CC7" w:rsidRDefault="00F05CC7" w:rsidP="00F05CC7">
      <w:pPr>
        <w:jc w:val="both"/>
        <w:rPr>
          <w:rFonts w:eastAsia="Times New Roman"/>
          <w:bCs/>
          <w:lang w:val="en-PH"/>
        </w:rPr>
      </w:pPr>
      <w:r w:rsidRPr="00F05CC7">
        <w:rPr>
          <w:rFonts w:eastAsia="Times New Roman"/>
          <w:bCs/>
          <w:lang w:val="en-PH"/>
        </w:rPr>
        <w:t xml:space="preserve">Between October and December 2024, Singapore’s economy grew by 0.1% on a quarter-on-quarter seasonally adjusted basis, following a 3.2% expansion in the third quarter. The stronger second-half performance was attributed to the trade-related and financial services sectors, but growth is projected to </w:t>
      </w:r>
      <w:r w:rsidRPr="00F05CC7">
        <w:rPr>
          <w:rFonts w:eastAsia="Times New Roman"/>
          <w:bCs/>
          <w:lang w:val="en-PH"/>
        </w:rPr>
        <w:lastRenderedPageBreak/>
        <w:t>moderate over 2025. The Ministry of Trade and Industry (</w:t>
      </w:r>
      <w:r w:rsidRPr="00F05CC7">
        <w:rPr>
          <w:rFonts w:eastAsia="Times New Roman"/>
          <w:b/>
          <w:bCs/>
          <w:lang w:val="en-PH"/>
        </w:rPr>
        <w:t>MTI</w:t>
      </w:r>
      <w:r w:rsidRPr="00F05CC7">
        <w:rPr>
          <w:rFonts w:eastAsia="Times New Roman"/>
          <w:bCs/>
          <w:lang w:val="en-PH"/>
        </w:rPr>
        <w:t>) has forecast GDP growth of between 1.0% and 3.0% for 2025, down from 4.0% in 2024, as external demand conditions weaken.</w:t>
      </w:r>
    </w:p>
    <w:p w14:paraId="677BBA3D" w14:textId="77777777" w:rsidR="00F05CC7" w:rsidRPr="00F05CC7" w:rsidRDefault="00F05CC7" w:rsidP="00F05CC7">
      <w:pPr>
        <w:jc w:val="both"/>
        <w:rPr>
          <w:rFonts w:eastAsia="Times New Roman"/>
          <w:bCs/>
          <w:lang w:val="en-PH"/>
        </w:rPr>
      </w:pPr>
      <w:r w:rsidRPr="00F05CC7">
        <w:rPr>
          <w:rFonts w:eastAsia="Times New Roman"/>
          <w:bCs/>
          <w:lang w:val="en-PH"/>
        </w:rPr>
        <w:t>Inflation has also moderated more quickly than expected. MAS Core Inflation declined to 1.9% year-on-year in the fourth quarter of 2024, compared to 2.7% in the third quarter. The seasonally adjusted three-month core inflation rate remained close to an annualised 1.0% for most of the second half of 2024. Excluding the impact of the Goods and Services Tax (</w:t>
      </w:r>
      <w:r w:rsidRPr="00F05CC7">
        <w:rPr>
          <w:rFonts w:eastAsia="Times New Roman"/>
          <w:b/>
          <w:bCs/>
          <w:lang w:val="en-PH"/>
        </w:rPr>
        <w:t>GST</w:t>
      </w:r>
      <w:r w:rsidRPr="00F05CC7">
        <w:rPr>
          <w:rFonts w:eastAsia="Times New Roman"/>
          <w:bCs/>
          <w:lang w:val="en-PH"/>
        </w:rPr>
        <w:t>) hikes, core inflation is estimated to have fallen below 1.5% year-on-year in the fourth quarter. The decline was broad-based, with consumer price increases easing across various goods and services.</w:t>
      </w:r>
    </w:p>
    <w:p w14:paraId="10A49E2A" w14:textId="77777777" w:rsidR="00F05CC7" w:rsidRPr="00F05CC7" w:rsidRDefault="00F05CC7" w:rsidP="00F05CC7">
      <w:pPr>
        <w:jc w:val="both"/>
        <w:rPr>
          <w:rFonts w:eastAsia="Times New Roman"/>
          <w:bCs/>
          <w:lang w:val="en-PH"/>
        </w:rPr>
      </w:pPr>
      <w:r w:rsidRPr="00F05CC7">
        <w:rPr>
          <w:rFonts w:eastAsia="Times New Roman"/>
          <w:bCs/>
          <w:lang w:val="en-PH"/>
        </w:rPr>
        <w:t>Looking ahead, MAS expects core inflation to remain contained at an average of 1.0% to 2.0% in 2025, lower than the 1.5% to 2.5% projected in the October 2024 statement. This is due to stable business costs, moderate global oil prices, and favourable supply conditions in key food markets. While trade tensions could exert inflationary pressures in some regions, weaker global demand is expected to offset these effects. Domestically, unit labour cost increases are projected to ease as wage growth stabilises and productivity improves. Government subsidies on public healthcare, pre-school education, and public transport will also help moderate essential service inflation.</w:t>
      </w:r>
    </w:p>
    <w:p w14:paraId="1654693B" w14:textId="77777777" w:rsidR="00F05CC7" w:rsidRPr="00F05CC7" w:rsidRDefault="00F05CC7" w:rsidP="00F05CC7">
      <w:pPr>
        <w:jc w:val="both"/>
        <w:rPr>
          <w:rFonts w:eastAsia="Times New Roman"/>
          <w:bCs/>
          <w:lang w:val="en-PH"/>
        </w:rPr>
      </w:pPr>
      <w:r w:rsidRPr="00F05CC7">
        <w:rPr>
          <w:rFonts w:eastAsia="Times New Roman"/>
          <w:bCs/>
          <w:lang w:val="en-PH"/>
        </w:rPr>
        <w:t>Given the economic and inflation outlook, MAS has decided to reduce slightly the slope of the S$NEER policy band while keeping its width and centre unchanged. The monetary policy adjustment takes effect immediately, with MAS continuing its regular assessments of economic developments. The next monetary policy review is expected in April 2025, where further adjustments could be considered depending on economic conditions at that time.</w:t>
      </w:r>
    </w:p>
    <w:p w14:paraId="3F55CA36" w14:textId="77777777" w:rsidR="00F05CC7" w:rsidRPr="00F05CC7" w:rsidRDefault="00F05CC7" w:rsidP="00654900">
      <w:pPr>
        <w:rPr>
          <w:rFonts w:eastAsia="Times New Roman"/>
          <w:bCs/>
          <w:lang w:val="en-PH"/>
        </w:rPr>
      </w:pPr>
      <w:r w:rsidRPr="00F05CC7">
        <w:rPr>
          <w:rFonts w:eastAsia="Times New Roman"/>
          <w:bCs/>
          <w:lang w:val="en-PH"/>
        </w:rPr>
        <w:t>(Source: </w:t>
      </w:r>
      <w:hyperlink r:id="rId12" w:tgtFrame="_blank" w:history="1">
        <w:r w:rsidRPr="00F05CC7">
          <w:rPr>
            <w:rStyle w:val="Hyperlink"/>
            <w:rFonts w:eastAsia="Times New Roman"/>
            <w:bCs/>
            <w:color w:val="FF6E00"/>
            <w:lang w:val="en-PH"/>
          </w:rPr>
          <w:t>https://www.mas.gov.sg/news/monetary-policy-statements/2025/mas-monetary-policy-statement-24jan25</w:t>
        </w:r>
      </w:hyperlink>
      <w:r w:rsidRPr="00F05CC7">
        <w:rPr>
          <w:rFonts w:eastAsia="Times New Roman"/>
          <w:bCs/>
          <w:lang w:val="en-PH"/>
        </w:rPr>
        <w:t>)</w:t>
      </w:r>
    </w:p>
    <w:p w14:paraId="1062DB9B" w14:textId="77777777" w:rsidR="00665A32" w:rsidRDefault="00665A32" w:rsidP="00643EFA">
      <w:pPr>
        <w:jc w:val="both"/>
        <w:rPr>
          <w:rFonts w:eastAsia="Times New Roman"/>
          <w:bCs/>
          <w:lang w:val="en-PH"/>
        </w:rPr>
      </w:pPr>
    </w:p>
    <w:p w14:paraId="275B25B3" w14:textId="77777777" w:rsidR="00193F55" w:rsidRPr="00193F55" w:rsidRDefault="00193F55" w:rsidP="00654900">
      <w:pPr>
        <w:rPr>
          <w:b/>
          <w:bCs/>
          <w:color w:val="FF6E00"/>
          <w:lang w:val="en-PH"/>
        </w:rPr>
      </w:pPr>
      <w:r w:rsidRPr="00193F55">
        <w:rPr>
          <w:b/>
          <w:bCs/>
          <w:color w:val="FF6E00"/>
          <w:lang w:val="en-PH"/>
        </w:rPr>
        <w:t>Latvia’s Financial Services Sector Moves Towards Innovation, Connectivity, and Resilience</w:t>
      </w:r>
    </w:p>
    <w:p w14:paraId="075C59A3" w14:textId="77777777" w:rsidR="006D3BF8" w:rsidRPr="006D3BF8" w:rsidRDefault="006D3BF8" w:rsidP="006D3BF8">
      <w:pPr>
        <w:jc w:val="both"/>
        <w:rPr>
          <w:rFonts w:eastAsia="Times New Roman"/>
          <w:bCs/>
          <w:lang w:val="en-PH"/>
        </w:rPr>
      </w:pPr>
      <w:r w:rsidRPr="006D3BF8">
        <w:rPr>
          <w:rFonts w:eastAsia="Times New Roman"/>
          <w:bCs/>
          <w:lang w:val="en-PH"/>
        </w:rPr>
        <w:t>On 28 January 2025, Latvia’s central bank, Latvijas Banka, published an update outlining its vision for the future of financial services in the country. The update, authored by Marine Krasovska, Head of Financial Technology Supervision Department at Latvijas Banka, discusses an ambitious strategy focusing on digital innovation, enhanced regulatory frameworks, cybersecurity resilience, and the integration of traditional and emerging financial services. The update sets forth policy directions that apply to banks, fintech firms, payment service providers, and crowdfunding platforms.</w:t>
      </w:r>
    </w:p>
    <w:p w14:paraId="7CE773E4" w14:textId="77777777" w:rsidR="006D3BF8" w:rsidRPr="006D3BF8" w:rsidRDefault="006D3BF8" w:rsidP="006D3BF8">
      <w:pPr>
        <w:jc w:val="both"/>
        <w:rPr>
          <w:rFonts w:eastAsia="Times New Roman"/>
          <w:bCs/>
          <w:lang w:val="en-PH"/>
        </w:rPr>
      </w:pPr>
      <w:r w:rsidRPr="006D3BF8">
        <w:rPr>
          <w:rFonts w:eastAsia="Times New Roman"/>
          <w:bCs/>
          <w:lang w:val="en-PH"/>
        </w:rPr>
        <w:t>The next phase of transformation is expected to leverage European Digital Strategy initiatives, fostering a collaborative framework between fintech firms, traditional banks, and new financial service providers.</w:t>
      </w:r>
    </w:p>
    <w:p w14:paraId="5655DC13" w14:textId="77777777" w:rsidR="006D3BF8" w:rsidRPr="006D3BF8" w:rsidRDefault="006D3BF8" w:rsidP="006D3BF8">
      <w:pPr>
        <w:jc w:val="both"/>
        <w:rPr>
          <w:rFonts w:eastAsia="Times New Roman"/>
          <w:bCs/>
          <w:lang w:val="en-PH"/>
        </w:rPr>
      </w:pPr>
      <w:r w:rsidRPr="006D3BF8">
        <w:rPr>
          <w:rFonts w:eastAsia="Times New Roman"/>
          <w:bCs/>
          <w:lang w:val="en-PH"/>
        </w:rPr>
        <w:t>The future of financial services in Latvia will be shaped by new regulatory obligations under European and domestic legislation. The implementation of the </w:t>
      </w:r>
      <w:hyperlink r:id="rId13" w:tgtFrame="_blank" w:history="1">
        <w:r w:rsidRPr="006D3BF8">
          <w:rPr>
            <w:rStyle w:val="Hyperlink"/>
            <w:rFonts w:eastAsia="Times New Roman"/>
            <w:bCs/>
            <w:color w:val="FF6E00"/>
            <w:u w:val="none"/>
            <w:lang w:val="en-PH"/>
          </w:rPr>
          <w:t>EU AI Act</w:t>
        </w:r>
      </w:hyperlink>
      <w:r w:rsidRPr="006D3BF8">
        <w:rPr>
          <w:rFonts w:eastAsia="Times New Roman"/>
          <w:bCs/>
          <w:lang w:val="en-PH"/>
        </w:rPr>
        <w:t> and the EU Digital Operational Resilience Act (</w:t>
      </w:r>
      <w:hyperlink r:id="rId14" w:tgtFrame="_blank" w:history="1">
        <w:r w:rsidRPr="006D3BF8">
          <w:rPr>
            <w:rStyle w:val="Hyperlink"/>
            <w:rFonts w:eastAsia="Times New Roman"/>
            <w:b/>
            <w:bCs/>
            <w:color w:val="FF6E00"/>
            <w:u w:val="none"/>
            <w:lang w:val="en-PH"/>
          </w:rPr>
          <w:t>EU DORA</w:t>
        </w:r>
      </w:hyperlink>
      <w:r w:rsidRPr="006D3BF8">
        <w:rPr>
          <w:rFonts w:eastAsia="Times New Roman"/>
          <w:bCs/>
          <w:lang w:val="en-PH"/>
        </w:rPr>
        <w:t>) is set to bring oversight, transparency, and security to the industry. These regulations apply to financial institutions, fintech startups, payment service providers, and cloud service operators, establishing compliance requirements in AI governance, operational risk management, and cybersecurity protocols.</w:t>
      </w:r>
    </w:p>
    <w:p w14:paraId="36E8B49F" w14:textId="77777777" w:rsidR="006D3BF8" w:rsidRPr="006D3BF8" w:rsidRDefault="006D3BF8" w:rsidP="006D3BF8">
      <w:pPr>
        <w:jc w:val="both"/>
        <w:rPr>
          <w:rFonts w:eastAsia="Times New Roman"/>
          <w:bCs/>
          <w:lang w:val="en-PH"/>
        </w:rPr>
      </w:pPr>
      <w:r w:rsidRPr="006D3BF8">
        <w:rPr>
          <w:rFonts w:eastAsia="Times New Roman"/>
          <w:bCs/>
          <w:lang w:val="en-PH"/>
        </w:rPr>
        <w:lastRenderedPageBreak/>
        <w:t>Under the EU AI Act, financial institutions operating in Latvia must adhere to strict standards for AI-powered financial services to ensure that automation and machine learning models used in banking, risk assessment, and customer interactions meet transparency, fairness, and security requirements. Institutions that incorporate AI for fraud detection, credit scoring, or algorithmic trading must ensure that these systems align with the highest standards of reliability and accountability.</w:t>
      </w:r>
    </w:p>
    <w:p w14:paraId="18660AEF" w14:textId="77777777" w:rsidR="006D3BF8" w:rsidRPr="006D3BF8" w:rsidRDefault="006D3BF8" w:rsidP="006D3BF8">
      <w:pPr>
        <w:jc w:val="both"/>
        <w:rPr>
          <w:rFonts w:eastAsia="Times New Roman"/>
          <w:bCs/>
          <w:lang w:val="en-PH"/>
        </w:rPr>
      </w:pPr>
      <w:r w:rsidRPr="006D3BF8">
        <w:rPr>
          <w:rFonts w:eastAsia="Times New Roman"/>
          <w:bCs/>
          <w:lang w:val="en-PH"/>
        </w:rPr>
        <w:t>With the introduction of EU DORA, financial entities are now required to enhance their cybersecurity frameworks to protect financial data, prevent service disruptions, and mitigate operational risks. The obligations under EU DORA include strengthened third-party risk management, mandatory incident reporting, penetration testing, and improved IT governance.</w:t>
      </w:r>
    </w:p>
    <w:p w14:paraId="1DBE3E21" w14:textId="77777777" w:rsidR="006D3BF8" w:rsidRPr="006D3BF8" w:rsidRDefault="006D3BF8" w:rsidP="006D3BF8">
      <w:pPr>
        <w:jc w:val="both"/>
        <w:rPr>
          <w:rFonts w:eastAsia="Times New Roman"/>
          <w:bCs/>
          <w:lang w:val="en-PH"/>
        </w:rPr>
      </w:pPr>
      <w:r w:rsidRPr="006D3BF8">
        <w:rPr>
          <w:rFonts w:eastAsia="Times New Roman"/>
          <w:bCs/>
          <w:lang w:val="en-PH"/>
        </w:rPr>
        <w:t xml:space="preserve">Latvia’s financial landscape is evolving towards </w:t>
      </w:r>
      <w:proofErr w:type="gramStart"/>
      <w:r w:rsidRPr="006D3BF8">
        <w:rPr>
          <w:rFonts w:eastAsia="Times New Roman"/>
          <w:bCs/>
          <w:lang w:val="en-PH"/>
        </w:rPr>
        <w:t>a</w:t>
      </w:r>
      <w:proofErr w:type="gramEnd"/>
      <w:r w:rsidRPr="006D3BF8">
        <w:rPr>
          <w:rFonts w:eastAsia="Times New Roman"/>
          <w:bCs/>
          <w:lang w:val="en-PH"/>
        </w:rPr>
        <w:t xml:space="preserve"> interconnected and dynamic ecosystem that integrates fintech innovation, digital payments, and decentralised finance models. Latvijas Banka is actively encouraging collaboration between fintech startups and traditional banking institutions, with a focus on seamless interoperability between fiat currencies, crypto-assets, and stablecoins.</w:t>
      </w:r>
    </w:p>
    <w:p w14:paraId="26624085" w14:textId="77777777" w:rsidR="006D3BF8" w:rsidRPr="006D3BF8" w:rsidRDefault="006D3BF8" w:rsidP="006D3BF8">
      <w:pPr>
        <w:jc w:val="both"/>
        <w:rPr>
          <w:rFonts w:eastAsia="Times New Roman"/>
          <w:bCs/>
          <w:lang w:val="en-PH"/>
        </w:rPr>
      </w:pPr>
      <w:r w:rsidRPr="006D3BF8">
        <w:rPr>
          <w:rFonts w:eastAsia="Times New Roman"/>
          <w:bCs/>
          <w:lang w:val="en-PH"/>
        </w:rPr>
        <w:t>The anticipated introduction of the digital euro is expected to enhance payment infrastructure, improve transaction efficiency, and enable more secure cross-border payments. Stablecoins and tokenised financial products could further streamline transactions, offering businesses and consumers greater flexibility in their financial interactions. Retailers in Latvia could soon accept payments in euros, stablecoins, and the digital euro through a single payment gateway.</w:t>
      </w:r>
    </w:p>
    <w:p w14:paraId="22520190" w14:textId="77777777" w:rsidR="006D3BF8" w:rsidRPr="006D3BF8" w:rsidRDefault="006D3BF8" w:rsidP="006D3BF8">
      <w:pPr>
        <w:jc w:val="both"/>
        <w:rPr>
          <w:rFonts w:eastAsia="Times New Roman"/>
          <w:bCs/>
          <w:lang w:val="en-PH"/>
        </w:rPr>
      </w:pPr>
      <w:r w:rsidRPr="006D3BF8">
        <w:rPr>
          <w:rFonts w:eastAsia="Times New Roman"/>
          <w:bCs/>
          <w:lang w:val="en-PH"/>
        </w:rPr>
        <w:t>At the end of 2024, Latvijas Banka initiated the development of a national fintech strategy aimed at attracting foreign investment. The strategy focuses on international outreach, fintech promotion, regulatory development, and access to capital.</w:t>
      </w:r>
    </w:p>
    <w:p w14:paraId="3F12C396" w14:textId="77777777" w:rsidR="006D3BF8" w:rsidRPr="006D3BF8" w:rsidRDefault="006D3BF8" w:rsidP="006D3BF8">
      <w:pPr>
        <w:jc w:val="both"/>
        <w:rPr>
          <w:rFonts w:eastAsia="Times New Roman"/>
          <w:bCs/>
          <w:lang w:val="en-PH"/>
        </w:rPr>
      </w:pPr>
      <w:r w:rsidRPr="006D3BF8">
        <w:rPr>
          <w:rFonts w:eastAsia="Times New Roman"/>
          <w:bCs/>
          <w:lang w:val="en-PH"/>
        </w:rPr>
        <w:t>With the financial sector becoming increasingly reliant on cloud computing, artificial intelligence, and digital payment systems, cybersecurity risks have escalated. Latvijas Banka’s research indicates a rapid increase in cloud adoption, rising from 14 market participants in 2021 to 46 in 2024, highlighting the growing reliance on cloud-based financial infrastructure.</w:t>
      </w:r>
    </w:p>
    <w:p w14:paraId="4DE615E7" w14:textId="77777777" w:rsidR="006D3BF8" w:rsidRPr="006D3BF8" w:rsidRDefault="006D3BF8" w:rsidP="006D3BF8">
      <w:pPr>
        <w:jc w:val="both"/>
        <w:rPr>
          <w:rFonts w:eastAsia="Times New Roman"/>
          <w:bCs/>
          <w:lang w:val="en-PH"/>
        </w:rPr>
      </w:pPr>
      <w:r w:rsidRPr="006D3BF8">
        <w:rPr>
          <w:rFonts w:eastAsia="Times New Roman"/>
          <w:bCs/>
          <w:lang w:val="en-PH"/>
        </w:rPr>
        <w:t>The implementation of EU DORA in 2025 will introduce mandatory cybersecurity compliance measures for financial entities in Latvia. Banks, payment service providers, and digital lenders will be required to strengthen their cybersecurity measures, report security incidents, and conduct periodic risk assessments. Third-party service providers, including cloud computing and IT infrastructure companies, will also be subject to oversight and compliance obligations to prevent overreliance on any single provider.</w:t>
      </w:r>
    </w:p>
    <w:p w14:paraId="0EE3128B" w14:textId="77777777" w:rsidR="006D3BF8" w:rsidRPr="006D3BF8" w:rsidRDefault="006D3BF8" w:rsidP="006D3BF8">
      <w:pPr>
        <w:jc w:val="both"/>
        <w:rPr>
          <w:rFonts w:eastAsia="Times New Roman"/>
          <w:bCs/>
          <w:lang w:val="en-PH"/>
        </w:rPr>
      </w:pPr>
      <w:r w:rsidRPr="006D3BF8">
        <w:rPr>
          <w:rFonts w:eastAsia="Times New Roman"/>
          <w:bCs/>
          <w:lang w:val="en-PH"/>
        </w:rPr>
        <w:t>Crowdfunding services, though still in their early stages in Latvia, are gaining traction as an alternative financing method for small businesses and entrepreneurs. By reducing reliance on traditional banking loans, these platforms enable faster and more efficient capital access, especially for startups and small enterprises.</w:t>
      </w:r>
    </w:p>
    <w:p w14:paraId="384B06E2" w14:textId="77777777" w:rsidR="006D3BF8" w:rsidRPr="006D3BF8" w:rsidRDefault="006D3BF8" w:rsidP="006D3BF8">
      <w:pPr>
        <w:jc w:val="both"/>
        <w:rPr>
          <w:rFonts w:eastAsia="Times New Roman"/>
          <w:bCs/>
          <w:lang w:val="en-PH"/>
        </w:rPr>
      </w:pPr>
      <w:r w:rsidRPr="006D3BF8">
        <w:rPr>
          <w:rFonts w:eastAsia="Times New Roman"/>
          <w:bCs/>
          <w:lang w:val="en-PH"/>
        </w:rPr>
        <w:t>AI-powered decision-making is expected to enhance digital lending services by automating credit risk assessment, enabling alternative credit scoring methods, and improving the speed of loan approvals. Latvijas Banka is working on initiatives that could expand guarantee programmes for digital lending, ensuring broader financial inclusion and access to credit.</w:t>
      </w:r>
    </w:p>
    <w:p w14:paraId="3153E245" w14:textId="77777777" w:rsidR="006D3BF8" w:rsidRPr="006D3BF8" w:rsidRDefault="006D3BF8" w:rsidP="006D3BF8">
      <w:pPr>
        <w:jc w:val="both"/>
        <w:rPr>
          <w:rFonts w:eastAsia="Times New Roman"/>
          <w:bCs/>
          <w:lang w:val="en-PH"/>
        </w:rPr>
      </w:pPr>
      <w:r w:rsidRPr="006D3BF8">
        <w:rPr>
          <w:rFonts w:eastAsia="Times New Roman"/>
          <w:bCs/>
          <w:lang w:val="en-PH"/>
        </w:rPr>
        <w:lastRenderedPageBreak/>
        <w:t>The regulatory measures outlined by Latvijas Banka are set to take effect gradually, with DORA enforcement beginning in 2025 and the EU AI Act already in effect. The national fintech strategy is in the final coordination phase, with implementation expected to commence by the second half of 2025.</w:t>
      </w:r>
    </w:p>
    <w:p w14:paraId="6D24738F" w14:textId="65EF4197" w:rsidR="00665A32" w:rsidRPr="00D3743D" w:rsidRDefault="006D3BF8" w:rsidP="00654900">
      <w:pPr>
        <w:rPr>
          <w:rFonts w:eastAsia="Times New Roman"/>
          <w:bCs/>
          <w:lang w:val="en-PH"/>
        </w:rPr>
      </w:pPr>
      <w:r w:rsidRPr="006D3BF8">
        <w:rPr>
          <w:rFonts w:eastAsia="Times New Roman"/>
          <w:bCs/>
          <w:lang w:val="en-PH"/>
        </w:rPr>
        <w:t>(Source: </w:t>
      </w:r>
      <w:hyperlink r:id="rId15" w:tgtFrame="_blank" w:history="1">
        <w:r w:rsidRPr="006D3BF8">
          <w:rPr>
            <w:rStyle w:val="Hyperlink"/>
            <w:rFonts w:eastAsia="Times New Roman"/>
            <w:bCs/>
            <w:color w:val="FF6E00"/>
            <w:lang w:val="en-PH"/>
          </w:rPr>
          <w:t>https://fintechlatvia.eu/news/the-future-of-financial-services-in-latvia-a-vision-for-innovation-connectivity-and-purpose-driven-growth/</w:t>
        </w:r>
      </w:hyperlink>
      <w:r w:rsidRPr="006D3BF8">
        <w:rPr>
          <w:rFonts w:eastAsia="Times New Roman"/>
          <w:bCs/>
          <w:lang w:val="en-PH"/>
        </w:rPr>
        <w:t>)</w:t>
      </w:r>
    </w:p>
    <w:p w14:paraId="79EB135E" w14:textId="77777777" w:rsidR="00665A32" w:rsidRDefault="00665A32" w:rsidP="00643EFA">
      <w:pPr>
        <w:jc w:val="both"/>
        <w:rPr>
          <w:rFonts w:eastAsia="Times New Roman"/>
          <w:bCs/>
          <w:lang w:val="en-PH"/>
        </w:rPr>
      </w:pPr>
    </w:p>
    <w:p w14:paraId="5710A490" w14:textId="77777777" w:rsidR="00193F55" w:rsidRPr="00193F55" w:rsidRDefault="00193F55" w:rsidP="00654900">
      <w:pPr>
        <w:rPr>
          <w:b/>
          <w:bCs/>
          <w:color w:val="FF6E00"/>
          <w:lang w:val="en-PH"/>
        </w:rPr>
      </w:pPr>
      <w:r w:rsidRPr="00193F55">
        <w:rPr>
          <w:b/>
          <w:bCs/>
          <w:color w:val="FF6E00"/>
          <w:lang w:val="en-PH"/>
        </w:rPr>
        <w:t>US District Court Issues $451 Million Judgment in US CFTC Binary Options Fraud Case</w:t>
      </w:r>
    </w:p>
    <w:p w14:paraId="6F68D462" w14:textId="386E6449" w:rsidR="00F24D01" w:rsidRPr="00F24D01" w:rsidRDefault="00F24D01" w:rsidP="00F24D01">
      <w:pPr>
        <w:jc w:val="both"/>
        <w:rPr>
          <w:rFonts w:eastAsia="Times New Roman"/>
          <w:bCs/>
          <w:lang w:val="en-PH"/>
        </w:rPr>
      </w:pPr>
      <w:r w:rsidRPr="00F24D01">
        <w:rPr>
          <w:rFonts w:eastAsia="Times New Roman"/>
          <w:bCs/>
          <w:lang w:val="en-PH"/>
        </w:rPr>
        <w:t>On 29 January 2025, the United States District Court for the Northern District of Illinois issued a </w:t>
      </w:r>
      <w:hyperlink r:id="rId16" w:tgtFrame="_blank" w:history="1">
        <w:r w:rsidRPr="00F24D01">
          <w:rPr>
            <w:rStyle w:val="Hyperlink"/>
            <w:rFonts w:eastAsia="Times New Roman"/>
            <w:bCs/>
            <w:color w:val="FF6E00"/>
            <w:u w:val="none"/>
            <w:lang w:val="en-PH"/>
          </w:rPr>
          <w:t>default judgment</w:t>
        </w:r>
      </w:hyperlink>
      <w:r w:rsidRPr="00F24D01">
        <w:rPr>
          <w:rFonts w:eastAsia="Times New Roman"/>
          <w:bCs/>
          <w:lang w:val="en-PH"/>
        </w:rPr>
        <w:t> against multiple offshore entities and individuals for their involvement in a large-scale global binary options fraud. The ruling, following a United States Commodity Futures Trading Commission (</w:t>
      </w:r>
      <w:r w:rsidRPr="00F24D01">
        <w:rPr>
          <w:rFonts w:eastAsia="Times New Roman"/>
          <w:b/>
          <w:bCs/>
          <w:lang w:val="en-PH"/>
        </w:rPr>
        <w:t>US CFTC</w:t>
      </w:r>
      <w:r w:rsidRPr="00F24D01">
        <w:rPr>
          <w:rFonts w:eastAsia="Times New Roman"/>
          <w:bCs/>
          <w:lang w:val="en-PH"/>
        </w:rPr>
        <w:t>) complaint, found Yukom Communications Ltd., Linkopia Mauritius Ltd., Wirestech Limited (BigOption), WSB Investments Ltd. (BinaryBook), and Zolarex Ltd. (BinaryOnline), along with Israeli nationals Yossi Herzog, Lee Elbaz, and Shalom Peretz, liable for defrauding investors and violating the United States Commodity Exchange Act (</w:t>
      </w:r>
      <w:hyperlink r:id="rId17" w:history="1">
        <w:r w:rsidRPr="00F24D01">
          <w:rPr>
            <w:rStyle w:val="Hyperlink"/>
            <w:rFonts w:eastAsia="Times New Roman"/>
            <w:b/>
            <w:bCs/>
            <w:color w:val="FF6E00"/>
            <w:u w:val="none"/>
            <w:lang w:val="en-PH"/>
          </w:rPr>
          <w:t>US CEA</w:t>
        </w:r>
      </w:hyperlink>
      <w:r w:rsidRPr="00F24D01">
        <w:rPr>
          <w:rFonts w:eastAsia="Times New Roman"/>
          <w:bCs/>
          <w:lang w:val="en-PH"/>
        </w:rPr>
        <w:t>).</w:t>
      </w:r>
    </w:p>
    <w:p w14:paraId="23A8B0CF" w14:textId="77777777" w:rsidR="00F24D01" w:rsidRPr="00F24D01" w:rsidRDefault="00F24D01" w:rsidP="00F24D01">
      <w:pPr>
        <w:jc w:val="both"/>
        <w:rPr>
          <w:rFonts w:eastAsia="Times New Roman"/>
          <w:bCs/>
          <w:lang w:val="en-PH"/>
        </w:rPr>
      </w:pPr>
      <w:r w:rsidRPr="00F24D01">
        <w:rPr>
          <w:rFonts w:eastAsia="Times New Roman"/>
          <w:bCs/>
          <w:lang w:val="en-PH"/>
        </w:rPr>
        <w:t>The court’s order imposed $112.9 million in restitution and $338.7 million in civil monetary penalties, bringing the total financial liability to over $451 million. The defendants were also permanently enjoined from engaging in any activities violating the US CEA and were banned from trading in any US CFTC-regulated markets. The order also prohibits them from registering with the CFTC or conducting any business related to commodity trading.</w:t>
      </w:r>
    </w:p>
    <w:p w14:paraId="1993BCC2" w14:textId="77777777" w:rsidR="00F24D01" w:rsidRPr="00F24D01" w:rsidRDefault="00F24D01" w:rsidP="00F24D01">
      <w:pPr>
        <w:jc w:val="both"/>
        <w:rPr>
          <w:rFonts w:eastAsia="Times New Roman"/>
          <w:bCs/>
          <w:lang w:val="en-PH"/>
        </w:rPr>
      </w:pPr>
      <w:r w:rsidRPr="00F24D01">
        <w:rPr>
          <w:rFonts w:eastAsia="Times New Roman"/>
          <w:bCs/>
          <w:lang w:val="en-PH"/>
        </w:rPr>
        <w:t>The case, initially filed by the US CFTC on 12 August 2019, involved a fraudulent binary options trading scheme that operated between March 2014 and August 2019. The defendants used fictitious trade names such as BigOption, BinaryBook, and BinaryOnline to solicit investors across the United States and internationally, falsely claiming high returns on binary options trades.</w:t>
      </w:r>
    </w:p>
    <w:p w14:paraId="53BD23DC" w14:textId="77777777" w:rsidR="00F24D01" w:rsidRPr="00F24D01" w:rsidRDefault="00F24D01" w:rsidP="00F24D01">
      <w:pPr>
        <w:jc w:val="both"/>
        <w:rPr>
          <w:rFonts w:eastAsia="Times New Roman"/>
          <w:bCs/>
          <w:lang w:val="en-PH"/>
        </w:rPr>
      </w:pPr>
      <w:r w:rsidRPr="00F24D01">
        <w:rPr>
          <w:rFonts w:eastAsia="Times New Roman"/>
          <w:bCs/>
          <w:lang w:val="en-PH"/>
        </w:rPr>
        <w:t xml:space="preserve">The fraud involved multiple misrepresentations, including false promises of profitability, misleading clients about brokers’ expertise, and manipulating trading platforms to limit or prevent customers from winning trades. Customers were also deceived about bonuses and risk-free trades, which were </w:t>
      </w:r>
      <w:proofErr w:type="gramStart"/>
      <w:r w:rsidRPr="00F24D01">
        <w:rPr>
          <w:rFonts w:eastAsia="Times New Roman"/>
          <w:bCs/>
          <w:lang w:val="en-PH"/>
        </w:rPr>
        <w:t>in reality structured</w:t>
      </w:r>
      <w:proofErr w:type="gramEnd"/>
      <w:r w:rsidRPr="00F24D01">
        <w:rPr>
          <w:rFonts w:eastAsia="Times New Roman"/>
          <w:bCs/>
          <w:lang w:val="en-PH"/>
        </w:rPr>
        <w:t xml:space="preserve"> to make fund withdrawals difficult or impossible. The defendants further misappropriated customer funds, diverting them for their own benefit rather than for trading.</w:t>
      </w:r>
    </w:p>
    <w:p w14:paraId="1A159068" w14:textId="77777777" w:rsidR="00F24D01" w:rsidRPr="00F24D01" w:rsidRDefault="00F24D01" w:rsidP="00F24D01">
      <w:pPr>
        <w:jc w:val="both"/>
        <w:rPr>
          <w:rFonts w:eastAsia="Times New Roman"/>
          <w:bCs/>
          <w:lang w:val="en-PH"/>
        </w:rPr>
      </w:pPr>
      <w:r w:rsidRPr="00F24D01">
        <w:rPr>
          <w:rFonts w:eastAsia="Times New Roman"/>
          <w:bCs/>
          <w:lang w:val="en-PH"/>
        </w:rPr>
        <w:t>The legal proceedings revealed that the fraudulent scheme was orchestrated by a network of offshore companies controlled by Herzog, Elbaz, and Peretz. The court found that these entities operated as a single fraudulent enterprise, using interconnected bank accounts to move funds across multiple jurisdictions.</w:t>
      </w:r>
    </w:p>
    <w:p w14:paraId="4851A552" w14:textId="77777777" w:rsidR="00F24D01" w:rsidRPr="00F24D01" w:rsidRDefault="00F24D01" w:rsidP="00F24D01">
      <w:pPr>
        <w:jc w:val="both"/>
        <w:rPr>
          <w:rFonts w:eastAsia="Times New Roman"/>
          <w:bCs/>
          <w:lang w:val="en-PH"/>
        </w:rPr>
      </w:pPr>
      <w:r w:rsidRPr="00F24D01">
        <w:rPr>
          <w:rFonts w:eastAsia="Times New Roman"/>
          <w:bCs/>
          <w:lang w:val="en-PH"/>
        </w:rPr>
        <w:t>One defendant, Yakov Cohen, previously settled with the court in September 2024, agreeing to disgorge $7 million in illicit profits. In a parallel criminal case, Lee Elbaz was convicted in August 2019 for wire fraud and conspiracy, receiving a 20-year prison sentence and being ordered to pay $28 million in restitution. Another defendant, Cohen, pleaded guilty in 2024 to wire fraud conspiracy, resulting in a 5.5-year prison sentence and a $7 million restitution order.</w:t>
      </w:r>
    </w:p>
    <w:p w14:paraId="7F4015D3" w14:textId="77777777" w:rsidR="00F24D01" w:rsidRPr="00F24D01" w:rsidRDefault="00F24D01" w:rsidP="00F24D01">
      <w:pPr>
        <w:jc w:val="both"/>
        <w:rPr>
          <w:rFonts w:eastAsia="Times New Roman"/>
          <w:bCs/>
          <w:lang w:val="en-PH"/>
        </w:rPr>
      </w:pPr>
      <w:r w:rsidRPr="00F24D01">
        <w:rPr>
          <w:rFonts w:eastAsia="Times New Roman"/>
          <w:bCs/>
          <w:lang w:val="en-PH"/>
        </w:rPr>
        <w:lastRenderedPageBreak/>
        <w:t>The United States National Futures Association (</w:t>
      </w:r>
      <w:r w:rsidRPr="00F24D01">
        <w:rPr>
          <w:rFonts w:eastAsia="Times New Roman"/>
          <w:b/>
          <w:bCs/>
          <w:lang w:val="en-PH"/>
        </w:rPr>
        <w:t>US NFA</w:t>
      </w:r>
      <w:r w:rsidRPr="00F24D01">
        <w:rPr>
          <w:rFonts w:eastAsia="Times New Roman"/>
          <w:bCs/>
          <w:lang w:val="en-PH"/>
        </w:rPr>
        <w:t>) has been appointed as Monitor to oversee restitution payments to defrauded customers. The US CFTC has been granted authority to ensure that all financial penalties are enforced and that the defendants remain barred from US financial markets.</w:t>
      </w:r>
    </w:p>
    <w:p w14:paraId="58923417" w14:textId="77777777" w:rsidR="00F24D01" w:rsidRPr="00F24D01" w:rsidRDefault="00F24D01" w:rsidP="00654900">
      <w:pPr>
        <w:rPr>
          <w:rFonts w:eastAsia="Times New Roman"/>
          <w:bCs/>
          <w:lang w:val="en-PH"/>
        </w:rPr>
      </w:pPr>
      <w:r w:rsidRPr="00F24D01">
        <w:rPr>
          <w:rFonts w:eastAsia="Times New Roman"/>
          <w:bCs/>
          <w:lang w:val="en-PH"/>
        </w:rPr>
        <w:t>(Source: </w:t>
      </w:r>
      <w:hyperlink r:id="rId18" w:history="1">
        <w:r w:rsidRPr="00F24D01">
          <w:rPr>
            <w:rStyle w:val="Hyperlink"/>
            <w:rFonts w:eastAsia="Times New Roman"/>
            <w:bCs/>
            <w:color w:val="FF6E00"/>
            <w:lang w:val="en-PH"/>
          </w:rPr>
          <w:t>https://www.cftc.gov/media/11761/%20enfyukomcommunicationsorder012925/download</w:t>
        </w:r>
      </w:hyperlink>
      <w:r w:rsidRPr="00F24D01">
        <w:rPr>
          <w:rFonts w:eastAsia="Times New Roman"/>
          <w:bCs/>
          <w:lang w:val="en-PH"/>
        </w:rPr>
        <w:t>, </w:t>
      </w:r>
      <w:hyperlink r:id="rId19" w:history="1">
        <w:r w:rsidRPr="00F24D01">
          <w:rPr>
            <w:rStyle w:val="Hyperlink"/>
            <w:rFonts w:eastAsia="Times New Roman"/>
            <w:bCs/>
            <w:color w:val="FF6E00"/>
            <w:lang w:val="en-PH"/>
          </w:rPr>
          <w:t>https://www.cftc.gov/PressRoom/PressReleases/9040-25</w:t>
        </w:r>
      </w:hyperlink>
      <w:r w:rsidRPr="00F24D01">
        <w:rPr>
          <w:rFonts w:eastAsia="Times New Roman"/>
          <w:bCs/>
          <w:lang w:val="en-PH"/>
        </w:rPr>
        <w:t>)</w:t>
      </w:r>
    </w:p>
    <w:p w14:paraId="16DC13ED" w14:textId="77777777" w:rsidR="00665A32" w:rsidRDefault="00665A32" w:rsidP="00643EFA">
      <w:pPr>
        <w:jc w:val="both"/>
        <w:rPr>
          <w:rFonts w:eastAsia="Times New Roman"/>
          <w:bCs/>
          <w:lang w:val="en-PH"/>
        </w:rPr>
      </w:pPr>
    </w:p>
    <w:p w14:paraId="11372B61" w14:textId="77777777" w:rsidR="00193F55" w:rsidRPr="00193F55" w:rsidRDefault="00193F55" w:rsidP="00654900">
      <w:pPr>
        <w:rPr>
          <w:b/>
          <w:bCs/>
          <w:color w:val="FF6E00"/>
          <w:lang w:val="en-PH"/>
        </w:rPr>
      </w:pPr>
      <w:r w:rsidRPr="00193F55">
        <w:rPr>
          <w:b/>
          <w:bCs/>
          <w:color w:val="FF6E00"/>
          <w:lang w:val="en-PH"/>
        </w:rPr>
        <w:t>US SEC Appoints Natalia Díez Riggin as Senior Advisor and Acting Director of Legislative and Intergovernmental Affairs</w:t>
      </w:r>
    </w:p>
    <w:p w14:paraId="471250CB" w14:textId="77777777" w:rsidR="00034B85" w:rsidRPr="00034B85" w:rsidRDefault="00034B85" w:rsidP="00034B85">
      <w:pPr>
        <w:jc w:val="both"/>
        <w:rPr>
          <w:rFonts w:eastAsia="Times New Roman"/>
          <w:bCs/>
          <w:lang w:val="en-PH"/>
        </w:rPr>
      </w:pPr>
      <w:r w:rsidRPr="00034B85">
        <w:rPr>
          <w:rFonts w:eastAsia="Times New Roman"/>
          <w:bCs/>
          <w:lang w:val="en-PH"/>
        </w:rPr>
        <w:t>On 30 January 2025, the United States Securities and Exchange Commission (</w:t>
      </w:r>
      <w:r w:rsidRPr="00034B85">
        <w:rPr>
          <w:rFonts w:eastAsia="Times New Roman"/>
          <w:b/>
          <w:bCs/>
          <w:lang w:val="en-PH"/>
        </w:rPr>
        <w:t>US SEC</w:t>
      </w:r>
      <w:r w:rsidRPr="00034B85">
        <w:rPr>
          <w:rFonts w:eastAsia="Times New Roman"/>
          <w:bCs/>
          <w:lang w:val="en-PH"/>
        </w:rPr>
        <w:t>) Acting Chairman Mark T. Uyeda appointed Natalia Díez Riggin as Senior Advisor and Acting Director of the Office of Legislative and Intergovernmental Affairs.</w:t>
      </w:r>
    </w:p>
    <w:p w14:paraId="24B24F98" w14:textId="77777777" w:rsidR="00034B85" w:rsidRPr="00034B85" w:rsidRDefault="00034B85" w:rsidP="00034B85">
      <w:pPr>
        <w:jc w:val="both"/>
        <w:rPr>
          <w:rFonts w:eastAsia="Times New Roman"/>
          <w:bCs/>
          <w:lang w:val="en-PH"/>
        </w:rPr>
      </w:pPr>
      <w:r w:rsidRPr="00034B85">
        <w:rPr>
          <w:rFonts w:eastAsia="Times New Roman"/>
          <w:bCs/>
          <w:lang w:val="en-PH"/>
        </w:rPr>
        <w:t>The Office of Legislative and Intergovernmental Affairs plays a role in the US SEC’s interactions with Congress, other government agencies, and stakeholders involved in securities regulation. The office ensures that legislative initiatives align with the agency’s objectives and that policymakers remain informed about the regulatory landscape.</w:t>
      </w:r>
    </w:p>
    <w:p w14:paraId="67A43782" w14:textId="77777777" w:rsidR="00034B85" w:rsidRPr="00034B85" w:rsidRDefault="00034B85" w:rsidP="00034B85">
      <w:pPr>
        <w:jc w:val="both"/>
        <w:rPr>
          <w:rFonts w:eastAsia="Times New Roman"/>
          <w:bCs/>
          <w:lang w:val="en-PH"/>
        </w:rPr>
      </w:pPr>
      <w:r w:rsidRPr="00034B85">
        <w:rPr>
          <w:rFonts w:eastAsia="Times New Roman"/>
          <w:bCs/>
          <w:lang w:val="en-PH"/>
        </w:rPr>
        <w:t>Ms. Riggin brings experience in financial and economic policy, having worked with legislative figures in the US Senate. Before joining the US SEC, she served as a Senior Professional Staff Member on the United States Committee on Banking, Housing, and Urban Affairs under Chairman Tim Scott of South Carolina. In this role, she was involved in legislative oversight of financial markets, banking policy, and economic regulations.</w:t>
      </w:r>
    </w:p>
    <w:p w14:paraId="21F26665" w14:textId="77777777" w:rsidR="00034B85" w:rsidRPr="00034B85" w:rsidRDefault="00034B85" w:rsidP="00034B85">
      <w:pPr>
        <w:jc w:val="both"/>
        <w:rPr>
          <w:rFonts w:eastAsia="Times New Roman"/>
          <w:bCs/>
          <w:lang w:val="en-PH"/>
        </w:rPr>
      </w:pPr>
      <w:r w:rsidRPr="00034B85">
        <w:rPr>
          <w:rFonts w:eastAsia="Times New Roman"/>
          <w:bCs/>
          <w:lang w:val="en-PH"/>
        </w:rPr>
        <w:t>Prior to that, she was Deputy Legislative Director for US Senator John Kennedy of Louisiana, where she provided strategic guidance on financial legislation and policy. She also served as Staff Director for the Economic Policy Subcommittee of the Senate Banking Committee, contributing to economic legislation and regulatory oversight. Earlier in her career, she worked as a policy aide to US Senators Mike Enzi of Wyoming and Mark Kirk of Illinois. She holds a Bachelor of Arts in political science and history from the University of Illinois Chicago.</w:t>
      </w:r>
    </w:p>
    <w:p w14:paraId="6B4F074E" w14:textId="77777777" w:rsidR="00034B85" w:rsidRPr="00034B85" w:rsidRDefault="00034B85" w:rsidP="00034B85">
      <w:pPr>
        <w:jc w:val="both"/>
        <w:rPr>
          <w:rFonts w:eastAsia="Times New Roman"/>
          <w:bCs/>
          <w:lang w:val="en-PH"/>
        </w:rPr>
      </w:pPr>
      <w:r w:rsidRPr="00034B85">
        <w:rPr>
          <w:rFonts w:eastAsia="Times New Roman"/>
          <w:bCs/>
          <w:lang w:val="en-PH"/>
        </w:rPr>
        <w:t>Ms. Riggin assumes her role immediately following the announcement. Her appointment comes at a time of transition for the US SEC, as it aligns its legislative priorities with a new phase of regulatory and economic policy discussions.</w:t>
      </w:r>
    </w:p>
    <w:p w14:paraId="51D83AA3" w14:textId="77777777" w:rsidR="00034B85" w:rsidRPr="00034B85" w:rsidRDefault="00034B85" w:rsidP="00034B85">
      <w:pPr>
        <w:jc w:val="both"/>
        <w:rPr>
          <w:rFonts w:eastAsia="Times New Roman"/>
          <w:bCs/>
          <w:lang w:val="en-PH"/>
        </w:rPr>
      </w:pPr>
      <w:r w:rsidRPr="00034B85">
        <w:rPr>
          <w:rFonts w:eastAsia="Times New Roman"/>
          <w:bCs/>
          <w:lang w:val="en-PH"/>
        </w:rPr>
        <w:t>Acting Chairman Uyeda stated, </w:t>
      </w:r>
      <w:r w:rsidRPr="00034B85">
        <w:rPr>
          <w:rFonts w:eastAsia="Times New Roman"/>
          <w:bCs/>
          <w:i/>
          <w:iCs/>
          <w:lang w:val="en-PH"/>
        </w:rPr>
        <w:t>“I’m thrilled that Natalia has joined us after her tenure working for Chairman Scott on the Senate Banking Committee. Her expertise will help guide us as we focus our efforts at the SEC on capital formation and ensuring companies aren’t impeded by ineffective regulation.”</w:t>
      </w:r>
    </w:p>
    <w:p w14:paraId="6F4E706E" w14:textId="77777777" w:rsidR="00034B85" w:rsidRPr="00034B85" w:rsidRDefault="00034B85" w:rsidP="00654900">
      <w:pPr>
        <w:rPr>
          <w:rFonts w:eastAsia="Times New Roman"/>
          <w:bCs/>
          <w:lang w:val="en-PH"/>
        </w:rPr>
      </w:pPr>
      <w:r w:rsidRPr="00034B85">
        <w:rPr>
          <w:rFonts w:eastAsia="Times New Roman"/>
          <w:bCs/>
          <w:lang w:val="en-PH"/>
        </w:rPr>
        <w:t>(Source: </w:t>
      </w:r>
      <w:hyperlink r:id="rId20" w:tgtFrame="_blank" w:history="1">
        <w:r w:rsidRPr="00034B85">
          <w:rPr>
            <w:rStyle w:val="Hyperlink"/>
            <w:rFonts w:eastAsia="Times New Roman"/>
            <w:bCs/>
            <w:color w:val="FF6E00"/>
            <w:lang w:val="en-PH"/>
          </w:rPr>
          <w:t>https://www.sec.gov/newsroom/press-releases/2025-34</w:t>
        </w:r>
      </w:hyperlink>
      <w:r w:rsidRPr="00034B85">
        <w:rPr>
          <w:rFonts w:eastAsia="Times New Roman"/>
          <w:bCs/>
          <w:lang w:val="en-PH"/>
        </w:rPr>
        <w:t>)</w:t>
      </w:r>
    </w:p>
    <w:p w14:paraId="2B058FE6" w14:textId="77777777" w:rsidR="00665A32" w:rsidRDefault="00665A32" w:rsidP="00643EFA">
      <w:pPr>
        <w:jc w:val="both"/>
        <w:rPr>
          <w:rFonts w:eastAsia="Times New Roman"/>
          <w:bCs/>
          <w:lang w:val="en-PH"/>
        </w:rPr>
      </w:pPr>
    </w:p>
    <w:p w14:paraId="1B4E10BA" w14:textId="77777777" w:rsidR="00193F55" w:rsidRPr="00193F55" w:rsidRDefault="00193F55" w:rsidP="00654900">
      <w:pPr>
        <w:rPr>
          <w:b/>
          <w:bCs/>
          <w:color w:val="FF6E00"/>
          <w:lang w:val="en-PH"/>
        </w:rPr>
      </w:pPr>
      <w:r w:rsidRPr="00193F55">
        <w:rPr>
          <w:b/>
          <w:bCs/>
          <w:color w:val="FF6E00"/>
          <w:lang w:val="en-PH"/>
        </w:rPr>
        <w:t>US SEC Small Business Advisory Committee to Discuss Challenges Facing Emerging Fund Managers and Small Public Companies</w:t>
      </w:r>
    </w:p>
    <w:p w14:paraId="5B30EBF3" w14:textId="77777777" w:rsidR="0087285A" w:rsidRPr="0087285A" w:rsidRDefault="0087285A" w:rsidP="0087285A">
      <w:pPr>
        <w:jc w:val="both"/>
        <w:rPr>
          <w:rFonts w:eastAsia="Times New Roman"/>
          <w:bCs/>
          <w:lang w:val="en-PH"/>
        </w:rPr>
      </w:pPr>
      <w:r w:rsidRPr="0087285A">
        <w:rPr>
          <w:rFonts w:eastAsia="Times New Roman"/>
          <w:bCs/>
          <w:lang w:val="en-PH"/>
        </w:rPr>
        <w:t>On 30 January 2025, the United States Securities and Exchange Commission (</w:t>
      </w:r>
      <w:r w:rsidRPr="0087285A">
        <w:rPr>
          <w:rFonts w:eastAsia="Times New Roman"/>
          <w:b/>
          <w:bCs/>
          <w:lang w:val="en-PH"/>
        </w:rPr>
        <w:t>US SEC</w:t>
      </w:r>
      <w:r w:rsidRPr="0087285A">
        <w:rPr>
          <w:rFonts w:eastAsia="Times New Roman"/>
          <w:bCs/>
          <w:lang w:val="en-PH"/>
        </w:rPr>
        <w:t>) announced that its Small Business Capital Formation Advisory Committee will convene on 25 February 2025 to discuss capital-</w:t>
      </w:r>
      <w:r w:rsidRPr="0087285A">
        <w:rPr>
          <w:rFonts w:eastAsia="Times New Roman"/>
          <w:bCs/>
          <w:lang w:val="en-PH"/>
        </w:rPr>
        <w:lastRenderedPageBreak/>
        <w:t>raising challenges for emerging fund managers and obstacles faced by small public companies that are not listed on a national securities exchange. The meeting agenda, titled “Meeting of SEC Small Business Capital Formation Advisory Committee,” outlines topics for discussion, including insights from industry experts and potential policy recommendations to address these issues. The public can view the live proceedings via webcast on the US SEC official website.</w:t>
      </w:r>
    </w:p>
    <w:p w14:paraId="7ED89CF8" w14:textId="77777777" w:rsidR="0087285A" w:rsidRPr="0087285A" w:rsidRDefault="0087285A" w:rsidP="0087285A">
      <w:pPr>
        <w:jc w:val="both"/>
        <w:rPr>
          <w:rFonts w:eastAsia="Times New Roman"/>
          <w:bCs/>
          <w:lang w:val="en-PH"/>
        </w:rPr>
      </w:pPr>
      <w:r w:rsidRPr="0087285A">
        <w:rPr>
          <w:rFonts w:eastAsia="Times New Roman"/>
          <w:bCs/>
          <w:lang w:val="en-PH"/>
        </w:rPr>
        <w:t>The Small Business Capital Formation Advisory Committee was established to advise the US SEC on policy matters affecting small businesses, including capital-raising regulations, public market accessibility, and the challenges faced by smaller financial players. The 2025 meeting follows the committee’s previous engagements on similar topics, with a continued focus on strengthening market participation for small and emerging entities.</w:t>
      </w:r>
    </w:p>
    <w:p w14:paraId="570AD22D" w14:textId="77777777" w:rsidR="0087285A" w:rsidRPr="0087285A" w:rsidRDefault="0087285A" w:rsidP="0087285A">
      <w:pPr>
        <w:jc w:val="both"/>
        <w:rPr>
          <w:rFonts w:eastAsia="Times New Roman"/>
          <w:bCs/>
          <w:lang w:val="en-PH"/>
        </w:rPr>
      </w:pPr>
      <w:r w:rsidRPr="0087285A">
        <w:rPr>
          <w:rFonts w:eastAsia="Times New Roman"/>
          <w:bCs/>
          <w:lang w:val="en-PH"/>
        </w:rPr>
        <w:t>During the morning session, the committee will hear an update from the US SEC’s Office of the Advocate for Small Business Capital Formation, which will present its FY2024 Annual Report. This report contains data on capital-raising activity from early-stage startups to small-cap companies, along with policy recommendations. The committee will then continue its exploration of strategies to support emerging fund managers, expanding on discussions held during a previous meeting on 13 November 2024. To facilitate these discussions, committee members will hear from Ashok Kamal, Executive Director of NuFund Venture Group, and Sara Zulkosky, Co-Founder &amp; Managing Partner at Recast Capital.</w:t>
      </w:r>
    </w:p>
    <w:p w14:paraId="552DDA65" w14:textId="77777777" w:rsidR="0087285A" w:rsidRPr="0087285A" w:rsidRDefault="0087285A" w:rsidP="0087285A">
      <w:pPr>
        <w:jc w:val="both"/>
        <w:rPr>
          <w:rFonts w:eastAsia="Times New Roman"/>
          <w:bCs/>
          <w:lang w:val="en-PH"/>
        </w:rPr>
      </w:pPr>
      <w:r w:rsidRPr="0087285A">
        <w:rPr>
          <w:rFonts w:eastAsia="Times New Roman"/>
          <w:bCs/>
          <w:lang w:val="en-PH"/>
        </w:rPr>
        <w:t>In the afternoon session, the committee will turn its focus to small public companies with market capitalisations of $250 million or less that are not listed on a national securities exchange. These companies represent a substantial segment of publicly traded firms, yet they often face barriers in accessing capital and attracting investor participation. The committee will examine the decision-making processes and challenges confronting these businesses, with insights provided by Dan Zinn, General Counsel and Chief of Staff at OTC Markets Group.</w:t>
      </w:r>
    </w:p>
    <w:p w14:paraId="5B202A8F" w14:textId="77777777" w:rsidR="0087285A" w:rsidRPr="0087285A" w:rsidRDefault="0087285A" w:rsidP="0087285A">
      <w:pPr>
        <w:jc w:val="both"/>
        <w:rPr>
          <w:rFonts w:eastAsia="Times New Roman"/>
          <w:bCs/>
          <w:lang w:val="en-PH"/>
        </w:rPr>
      </w:pPr>
      <w:r w:rsidRPr="0087285A">
        <w:rPr>
          <w:rFonts w:eastAsia="Times New Roman"/>
          <w:bCs/>
          <w:lang w:val="en-PH"/>
        </w:rPr>
        <w:t>For emerging fund managers, accessing capital remains a persistent challenge, particularly due to institutional barriers, regulatory complexities, and investor hesitancy in allocating funds to newer firms. The committee’s previous discussions in November 2024 identified areas of concern, and the upcoming meeting aims to deliberate further on potential policy recommendations to ease these challenges.</w:t>
      </w:r>
    </w:p>
    <w:p w14:paraId="7C0D8FEE" w14:textId="77777777" w:rsidR="0087285A" w:rsidRPr="0087285A" w:rsidRDefault="0087285A" w:rsidP="0087285A">
      <w:pPr>
        <w:jc w:val="both"/>
        <w:rPr>
          <w:rFonts w:eastAsia="Times New Roman"/>
          <w:bCs/>
          <w:lang w:val="en-PH"/>
        </w:rPr>
      </w:pPr>
      <w:r w:rsidRPr="0087285A">
        <w:rPr>
          <w:rFonts w:eastAsia="Times New Roman"/>
          <w:bCs/>
          <w:lang w:val="en-PH"/>
        </w:rPr>
        <w:t>For small public companies, the absence of a listing on a national securities exchange can create difficulties in securing investment and maintaining market liquidity. The committee will examine why some companies choose to remain off-exchange and explore strategies to improve their capital access. The discussion will involve perspectives from the OTC Markets Group, which facilitates trading for many such firms.</w:t>
      </w:r>
    </w:p>
    <w:p w14:paraId="2F579174" w14:textId="77777777" w:rsidR="0087285A" w:rsidRPr="0087285A" w:rsidRDefault="0087285A" w:rsidP="0087285A">
      <w:pPr>
        <w:jc w:val="both"/>
        <w:rPr>
          <w:rFonts w:eastAsia="Times New Roman"/>
          <w:bCs/>
          <w:lang w:val="en-PH"/>
        </w:rPr>
      </w:pPr>
      <w:r w:rsidRPr="0087285A">
        <w:rPr>
          <w:rFonts w:eastAsia="Times New Roman"/>
          <w:bCs/>
          <w:lang w:val="en-PH"/>
        </w:rPr>
        <w:t>The morning session will begin at 10:00 AM ET with introductory remarks from US SEC commissioners and newly appointed committee members. This will be followed by an update from the Office of the Advocate for Small Business Capital Formation, offering insights into the capital-raising environment for startups and small-cap businesses.</w:t>
      </w:r>
    </w:p>
    <w:p w14:paraId="4D73C982" w14:textId="77777777" w:rsidR="0087285A" w:rsidRPr="0087285A" w:rsidRDefault="0087285A" w:rsidP="0087285A">
      <w:pPr>
        <w:jc w:val="both"/>
        <w:rPr>
          <w:rFonts w:eastAsia="Times New Roman"/>
          <w:bCs/>
          <w:lang w:val="en-PH"/>
        </w:rPr>
      </w:pPr>
      <w:r w:rsidRPr="0087285A">
        <w:rPr>
          <w:rFonts w:eastAsia="Times New Roman"/>
          <w:bCs/>
          <w:lang w:val="en-PH"/>
        </w:rPr>
        <w:t>At 11:00 AM ET, the committee will revisit the topic of emerging fund managers, with industry experts providing perspectives on funding obstacles, investment dynamics, and fellowship programmes aimed at addressing institutional barriers for underrepresented fund managers. The session will include a presentation from angel investors and industry practitioners, with discussion contributions from Ashok Kamal of NuFund Venture Group and Sara Zulkosky of Recast Capital.</w:t>
      </w:r>
    </w:p>
    <w:p w14:paraId="6E066D2B" w14:textId="77777777" w:rsidR="0087285A" w:rsidRPr="0087285A" w:rsidRDefault="0087285A" w:rsidP="0087285A">
      <w:pPr>
        <w:jc w:val="both"/>
        <w:rPr>
          <w:rFonts w:eastAsia="Times New Roman"/>
          <w:bCs/>
          <w:lang w:val="en-PH"/>
        </w:rPr>
      </w:pPr>
      <w:r w:rsidRPr="0087285A">
        <w:rPr>
          <w:rFonts w:eastAsia="Times New Roman"/>
          <w:bCs/>
          <w:lang w:val="en-PH"/>
        </w:rPr>
        <w:lastRenderedPageBreak/>
        <w:t>After a break at 12:45 PM ET, the committee will reconvene at 1:45 PM ET to discuss the challenges faced by small public companies that are not listed on a national securities exchange. The session will feature insights from Dan Zinn of OTC Markets Group, who will provide an overview of the challenges and opportunities available to smaller public companies outside of major exchanges. The committee will then begin formulating potential solutions to enhance capital access and investor engagement for these firms.</w:t>
      </w:r>
    </w:p>
    <w:p w14:paraId="07970EE0" w14:textId="77777777" w:rsidR="0087285A" w:rsidRPr="0087285A" w:rsidRDefault="0087285A" w:rsidP="0087285A">
      <w:pPr>
        <w:jc w:val="both"/>
        <w:rPr>
          <w:rFonts w:eastAsia="Times New Roman"/>
          <w:bCs/>
          <w:lang w:val="en-PH"/>
        </w:rPr>
      </w:pPr>
      <w:r w:rsidRPr="0087285A">
        <w:rPr>
          <w:rFonts w:eastAsia="Times New Roman"/>
          <w:bCs/>
          <w:lang w:val="en-PH"/>
        </w:rPr>
        <w:t>The meeting will conclude at 3:30 PM ET, following a wrap-up session where committee members will reflect on the discussions and consider possible recommendations for regulatory improvements.</w:t>
      </w:r>
    </w:p>
    <w:p w14:paraId="49224B6A" w14:textId="77777777" w:rsidR="0087285A" w:rsidRPr="0087285A" w:rsidRDefault="0087285A" w:rsidP="0087285A">
      <w:pPr>
        <w:jc w:val="both"/>
        <w:rPr>
          <w:rFonts w:eastAsia="Times New Roman"/>
          <w:bCs/>
          <w:lang w:val="en-PH"/>
        </w:rPr>
      </w:pPr>
      <w:r w:rsidRPr="0087285A">
        <w:rPr>
          <w:rFonts w:eastAsia="Times New Roman"/>
          <w:bCs/>
          <w:lang w:val="en-PH"/>
        </w:rPr>
        <w:t>The committee’s discussions on 25 February 2025 are expected to contribute to future US SEC policy initiatives aimed at addressing capital-raising challenges. While no immediate regulatory changes will be enacted during the meeting, the committee’s findings and recommendations may influence forthcoming proposals or amendments to existing capital formation rules.</w:t>
      </w:r>
    </w:p>
    <w:p w14:paraId="43B40982" w14:textId="77777777" w:rsidR="0087285A" w:rsidRPr="0087285A" w:rsidRDefault="0087285A" w:rsidP="00654900">
      <w:pPr>
        <w:rPr>
          <w:rFonts w:eastAsia="Times New Roman"/>
          <w:bCs/>
          <w:lang w:val="en-PH"/>
        </w:rPr>
      </w:pPr>
      <w:r w:rsidRPr="0087285A">
        <w:rPr>
          <w:rFonts w:eastAsia="Times New Roman"/>
          <w:bCs/>
          <w:lang w:val="en-PH"/>
        </w:rPr>
        <w:t>(Source: </w:t>
      </w:r>
      <w:hyperlink r:id="rId21" w:tgtFrame="_blank" w:history="1">
        <w:r w:rsidRPr="0087285A">
          <w:rPr>
            <w:rStyle w:val="Hyperlink"/>
            <w:rFonts w:eastAsia="Times New Roman"/>
            <w:bCs/>
            <w:color w:val="FF6E00"/>
            <w:lang w:val="en-PH"/>
          </w:rPr>
          <w:t>https://www.sec.gov/newsroom/press-releases/2025-35</w:t>
        </w:r>
      </w:hyperlink>
      <w:r w:rsidRPr="0087285A">
        <w:rPr>
          <w:rFonts w:eastAsia="Times New Roman"/>
          <w:bCs/>
          <w:lang w:val="en-PH"/>
        </w:rPr>
        <w:t>)</w:t>
      </w:r>
    </w:p>
    <w:p w14:paraId="35DC7829" w14:textId="77777777" w:rsidR="00665A32" w:rsidRDefault="00665A32" w:rsidP="00643EFA">
      <w:pPr>
        <w:jc w:val="both"/>
        <w:rPr>
          <w:rFonts w:eastAsia="Times New Roman"/>
          <w:bCs/>
          <w:lang w:val="en-PH"/>
        </w:rPr>
      </w:pPr>
    </w:p>
    <w:p w14:paraId="6BED8071" w14:textId="77777777" w:rsidR="00193F55" w:rsidRPr="00193F55" w:rsidRDefault="00193F55" w:rsidP="00654900">
      <w:pPr>
        <w:rPr>
          <w:b/>
          <w:bCs/>
          <w:color w:val="FF6E00"/>
          <w:lang w:val="en-PH"/>
        </w:rPr>
      </w:pPr>
      <w:r w:rsidRPr="00193F55">
        <w:rPr>
          <w:b/>
          <w:bCs/>
          <w:color w:val="FF6E00"/>
          <w:lang w:val="en-PH"/>
        </w:rPr>
        <w:t>UK FCA Proposes Reforms for Corporate Bond Issuance and Investment Opportunities</w:t>
      </w:r>
    </w:p>
    <w:p w14:paraId="2CFE3008" w14:textId="77777777" w:rsidR="002D2765" w:rsidRPr="002D2765" w:rsidRDefault="002D2765" w:rsidP="002D2765">
      <w:pPr>
        <w:jc w:val="both"/>
        <w:rPr>
          <w:rFonts w:eastAsia="Times New Roman"/>
          <w:bCs/>
          <w:lang w:val="en-PH"/>
        </w:rPr>
      </w:pPr>
      <w:r w:rsidRPr="002D2765">
        <w:rPr>
          <w:rFonts w:eastAsia="Times New Roman"/>
          <w:bCs/>
          <w:lang w:val="en-PH"/>
        </w:rPr>
        <w:t>On 31 January 2025, the United Kingdom Financial Conduct Authority </w:t>
      </w:r>
      <w:r w:rsidRPr="002D2765">
        <w:rPr>
          <w:rFonts w:eastAsia="Times New Roman"/>
          <w:b/>
          <w:bCs/>
          <w:lang w:val="en-PH"/>
        </w:rPr>
        <w:t>(UK FCA</w:t>
      </w:r>
      <w:r w:rsidRPr="002D2765">
        <w:rPr>
          <w:rFonts w:eastAsia="Times New Roman"/>
          <w:bCs/>
          <w:lang w:val="en-PH"/>
        </w:rPr>
        <w:t>) published a consultation setting out further proposals to support corporate bond issuance, streamline capital-raising processes, and enhance investment opportunities for wealth managers and retail investors. The proposals, outlined in </w:t>
      </w:r>
      <w:hyperlink r:id="rId22" w:tgtFrame="_blank" w:history="1">
        <w:r w:rsidRPr="002D2765">
          <w:rPr>
            <w:rStyle w:val="Hyperlink"/>
            <w:rFonts w:eastAsia="Times New Roman"/>
            <w:bCs/>
            <w:i/>
            <w:iCs/>
            <w:color w:val="FF6E00"/>
            <w:u w:val="none"/>
            <w:lang w:val="en-PH"/>
          </w:rPr>
          <w:t>CP25/2: Consultation on further changes to the public offers and admissions to trading regime and the UK Listing Rules</w:t>
        </w:r>
      </w:hyperlink>
      <w:r w:rsidRPr="002D2765">
        <w:rPr>
          <w:rFonts w:eastAsia="Times New Roman"/>
          <w:bCs/>
          <w:lang w:val="en-PH"/>
        </w:rPr>
        <w:t> and </w:t>
      </w:r>
      <w:hyperlink r:id="rId23" w:tgtFrame="_blank" w:history="1">
        <w:r w:rsidRPr="002D2765">
          <w:rPr>
            <w:rStyle w:val="Hyperlink"/>
            <w:rFonts w:eastAsia="Times New Roman"/>
            <w:bCs/>
            <w:i/>
            <w:iCs/>
            <w:color w:val="FF6E00"/>
            <w:u w:val="none"/>
            <w:lang w:val="en-PH"/>
          </w:rPr>
          <w:t>CP25/3: Consultation on further proposals for firms operating public offer platforms</w:t>
        </w:r>
      </w:hyperlink>
      <w:r w:rsidRPr="002D2765">
        <w:rPr>
          <w:rFonts w:eastAsia="Times New Roman"/>
          <w:bCs/>
          <w:lang w:val="en-PH"/>
        </w:rPr>
        <w:t>, aim to make it easier and more cost-effective for companies to raise capital through smaller bond issuances and establish clearer requirements for public offer platforms.</w:t>
      </w:r>
    </w:p>
    <w:p w14:paraId="2E8572C8" w14:textId="77777777" w:rsidR="002D2765" w:rsidRPr="002D2765" w:rsidRDefault="002D2765" w:rsidP="002D2765">
      <w:pPr>
        <w:jc w:val="both"/>
        <w:rPr>
          <w:rFonts w:eastAsia="Times New Roman"/>
          <w:bCs/>
          <w:lang w:val="en-PH"/>
        </w:rPr>
      </w:pPr>
      <w:r w:rsidRPr="002D2765">
        <w:rPr>
          <w:rFonts w:eastAsia="Times New Roman"/>
          <w:bCs/>
          <w:lang w:val="en-PH"/>
        </w:rPr>
        <w:t>The UK FCA’s proposals include a single standard for corporate bond prospectuses, covering both large and small bond sizes, to simplify regulatory requirements and lower costs for businesses issuing bonds. This reform is expected to broaden investment opportunities by encouraging listed companies to offer bonds in smaller denominations, thereby making them more accessible to wealth managers and retail investors. The UK FCA is also proposing to simplify the requirements for further securities issuance, reducing administrative burdens and facilitating more flexible and affordable capital-raising options for UK-listed companies.</w:t>
      </w:r>
    </w:p>
    <w:p w14:paraId="50912E42" w14:textId="77777777" w:rsidR="002D2765" w:rsidRPr="002D2765" w:rsidRDefault="002D2765" w:rsidP="002D2765">
      <w:pPr>
        <w:jc w:val="both"/>
        <w:rPr>
          <w:rFonts w:eastAsia="Times New Roman"/>
          <w:bCs/>
          <w:lang w:val="en-PH"/>
        </w:rPr>
      </w:pPr>
      <w:r w:rsidRPr="002D2765">
        <w:rPr>
          <w:rFonts w:eastAsia="Times New Roman"/>
          <w:bCs/>
          <w:lang w:val="en-PH"/>
        </w:rPr>
        <w:t>The consultation outlines the introduction of new public offer platforms, which will enable companies to raise capital from a wider investor base outside of traditional public markets through authorised firms. These platforms will function similarly to crowdfunding models, providing businesses, including smaller firms, an alternative route to access capital while ensuring investor protection. The UK FCA aims to establish clear requirements for firms operating these platforms, thereby building market confidence and ensuring regulatory compliance.</w:t>
      </w:r>
    </w:p>
    <w:p w14:paraId="6CA87E61" w14:textId="77777777" w:rsidR="002D2765" w:rsidRPr="002D2765" w:rsidRDefault="002D2765" w:rsidP="002D2765">
      <w:pPr>
        <w:jc w:val="both"/>
        <w:rPr>
          <w:rFonts w:eastAsia="Times New Roman"/>
          <w:bCs/>
          <w:lang w:val="en-PH"/>
        </w:rPr>
      </w:pPr>
      <w:r w:rsidRPr="002D2765">
        <w:rPr>
          <w:rFonts w:eastAsia="Times New Roman"/>
          <w:bCs/>
          <w:lang w:val="en-PH"/>
        </w:rPr>
        <w:t>The UK FCA’s latest proposals build upon its ongoing market reforms, which seek to modernise the UK’s financial markets, boost competitiveness, and enhance capital formation. In July 2024, the UK FCA launched a comprehensive consultation (</w:t>
      </w:r>
      <w:hyperlink r:id="rId24" w:tgtFrame="_blank" w:history="1">
        <w:r w:rsidRPr="002D2765">
          <w:rPr>
            <w:rStyle w:val="Hyperlink"/>
            <w:rFonts w:eastAsia="Times New Roman"/>
            <w:bCs/>
            <w:color w:val="FF6E00"/>
            <w:u w:val="none"/>
            <w:lang w:val="en-PH"/>
          </w:rPr>
          <w:t>CP24/12</w:t>
        </w:r>
      </w:hyperlink>
      <w:r w:rsidRPr="002D2765">
        <w:rPr>
          <w:rFonts w:eastAsia="Times New Roman"/>
          <w:bCs/>
          <w:lang w:val="en-PH"/>
        </w:rPr>
        <w:t> and </w:t>
      </w:r>
      <w:hyperlink r:id="rId25" w:tgtFrame="_blank" w:history="1">
        <w:r w:rsidRPr="002D2765">
          <w:rPr>
            <w:rStyle w:val="Hyperlink"/>
            <w:rFonts w:eastAsia="Times New Roman"/>
            <w:bCs/>
            <w:color w:val="FF6E00"/>
            <w:u w:val="none"/>
            <w:lang w:val="en-PH"/>
          </w:rPr>
          <w:t>CP24/13</w:t>
        </w:r>
      </w:hyperlink>
      <w:r w:rsidRPr="002D2765">
        <w:rPr>
          <w:rFonts w:eastAsia="Times New Roman"/>
          <w:bCs/>
          <w:lang w:val="en-PH"/>
        </w:rPr>
        <w:t>) on a new prospectus regime, which was designed to align with the UK’s updated listing rules and replace the existing UK Prospectus Regulation. These initial proposals sought to improve the disclosure requirements for low-denomination bonds and streamline the application process for further securities issuance.</w:t>
      </w:r>
    </w:p>
    <w:p w14:paraId="1705385E" w14:textId="77777777" w:rsidR="002D2765" w:rsidRPr="002D2765" w:rsidRDefault="002D2765" w:rsidP="002D2765">
      <w:pPr>
        <w:jc w:val="both"/>
        <w:rPr>
          <w:rFonts w:eastAsia="Times New Roman"/>
          <w:bCs/>
          <w:lang w:val="en-PH"/>
        </w:rPr>
      </w:pPr>
      <w:r w:rsidRPr="002D2765">
        <w:rPr>
          <w:rFonts w:eastAsia="Times New Roman"/>
          <w:bCs/>
          <w:lang w:val="en-PH"/>
        </w:rPr>
        <w:lastRenderedPageBreak/>
        <w:t>The newly proposed reforms aim to bridge gaps identified during the previous consultation by further refining disclosure requirements, simplifying capital-raising procedures for companies, and enhancing the accessibility of investment opportunities for retail and institutional investors. These reforms are expected to increase the number of companies issuing bonds in smaller denominations, facilitating greater participation in the bond market.</w:t>
      </w:r>
    </w:p>
    <w:p w14:paraId="3E501BA1" w14:textId="77777777" w:rsidR="002D2765" w:rsidRPr="002D2765" w:rsidRDefault="002D2765" w:rsidP="002D2765">
      <w:pPr>
        <w:jc w:val="both"/>
        <w:rPr>
          <w:rFonts w:eastAsia="Times New Roman"/>
          <w:bCs/>
          <w:lang w:val="en-PH"/>
        </w:rPr>
      </w:pPr>
      <w:r w:rsidRPr="002D2765">
        <w:rPr>
          <w:rFonts w:eastAsia="Times New Roman"/>
          <w:bCs/>
          <w:lang w:val="en-PH"/>
        </w:rPr>
        <w:t>The UK FCA is also working towards regulatory clarity for public offer platforms, ensuring that companies can efficiently raise capital while investors have access to transparent and secure investment opportunities.</w:t>
      </w:r>
    </w:p>
    <w:p w14:paraId="2240D325" w14:textId="77777777" w:rsidR="002D2765" w:rsidRPr="002D2765" w:rsidRDefault="002D2765" w:rsidP="002D2765">
      <w:pPr>
        <w:jc w:val="both"/>
        <w:rPr>
          <w:rFonts w:eastAsia="Times New Roman"/>
          <w:bCs/>
          <w:lang w:val="en-PH"/>
        </w:rPr>
      </w:pPr>
      <w:r w:rsidRPr="002D2765">
        <w:rPr>
          <w:rFonts w:eastAsia="Times New Roman"/>
          <w:bCs/>
          <w:lang w:val="en-PH"/>
        </w:rPr>
        <w:t>The UK FCA’s consultation 2025 documents outline regulatory changes aimed at improving the efficiency of capital markets and corporate bond issuance. Among the primary reforms is the introduction of a simplified, standardised framework for corporate bond prospectuses, which will cover both high- and low-denomination bonds and eliminates complex disclosure requirements, which is expected to encourage more companies to issue smaller-sized bonds, making them more accessible to a broader investor base.</w:t>
      </w:r>
    </w:p>
    <w:p w14:paraId="2BF0FC3F" w14:textId="77777777" w:rsidR="002D2765" w:rsidRPr="002D2765" w:rsidRDefault="002D2765" w:rsidP="002D2765">
      <w:pPr>
        <w:jc w:val="both"/>
        <w:rPr>
          <w:rFonts w:eastAsia="Times New Roman"/>
          <w:bCs/>
          <w:lang w:val="en-PH"/>
        </w:rPr>
      </w:pPr>
      <w:r w:rsidRPr="002D2765">
        <w:rPr>
          <w:rFonts w:eastAsia="Times New Roman"/>
          <w:bCs/>
          <w:lang w:val="en-PH"/>
        </w:rPr>
        <w:t>In addition to corporate bonds, the UK FCA is proposing to streamline the issuance of further securities by reducing regulatory hurdles and administrative costs. This will allow companies already listed on UK stock exchanges to raise additional capital more easily.</w:t>
      </w:r>
    </w:p>
    <w:p w14:paraId="5709D381" w14:textId="77777777" w:rsidR="002D2765" w:rsidRPr="002D2765" w:rsidRDefault="002D2765" w:rsidP="002D2765">
      <w:pPr>
        <w:jc w:val="both"/>
        <w:rPr>
          <w:rFonts w:eastAsia="Times New Roman"/>
          <w:bCs/>
          <w:lang w:val="en-PH"/>
        </w:rPr>
      </w:pPr>
      <w:r w:rsidRPr="002D2765">
        <w:rPr>
          <w:rFonts w:eastAsia="Times New Roman"/>
          <w:bCs/>
          <w:lang w:val="en-PH"/>
        </w:rPr>
        <w:t xml:space="preserve">The 2025 consultation proposes to establish new public offer platforms, which will provide an alternative mechanism for capital raising. These platforms will allow businesses to issue shares or bonds outside of traditional public markets through authorised firms, </w:t>
      </w:r>
      <w:proofErr w:type="gramStart"/>
      <w:r w:rsidRPr="002D2765">
        <w:rPr>
          <w:rFonts w:eastAsia="Times New Roman"/>
          <w:bCs/>
          <w:lang w:val="en-PH"/>
        </w:rPr>
        <w:t>similar to</w:t>
      </w:r>
      <w:proofErr w:type="gramEnd"/>
      <w:r w:rsidRPr="002D2765">
        <w:rPr>
          <w:rFonts w:eastAsia="Times New Roman"/>
          <w:bCs/>
          <w:lang w:val="en-PH"/>
        </w:rPr>
        <w:t xml:space="preserve"> crowdfunding platforms. The UK FCA is setting out clear authorisation requirements to ensure that these platforms operate transparently and securely, providing investors with reliable opportunities while reducing regulatory uncertainty for firms.</w:t>
      </w:r>
    </w:p>
    <w:p w14:paraId="2F03D4CE" w14:textId="77777777" w:rsidR="002D2765" w:rsidRPr="002D2765" w:rsidRDefault="002D2765" w:rsidP="002D2765">
      <w:pPr>
        <w:jc w:val="both"/>
        <w:rPr>
          <w:rFonts w:eastAsia="Times New Roman"/>
          <w:bCs/>
          <w:lang w:val="en-PH"/>
        </w:rPr>
      </w:pPr>
      <w:r w:rsidRPr="002D2765">
        <w:rPr>
          <w:rFonts w:eastAsia="Times New Roman"/>
          <w:bCs/>
          <w:lang w:val="en-PH"/>
        </w:rPr>
        <w:t>The UK FCA’s recent efforts to boost the competitiveness of UK financial markets also include the launch of PISCES, a private stock market for trading shares in private companies, and the introduction of regulatory initiatives to support asset managers, digital securities innovation, and cryptocurrency regulation. These broader efforts reflect a wider strategy to modernise UK capital markets and strengthen the country’s position as a leading global financial hub.</w:t>
      </w:r>
    </w:p>
    <w:p w14:paraId="4107AD9D" w14:textId="77777777" w:rsidR="002D2765" w:rsidRPr="002D2765" w:rsidRDefault="002D2765" w:rsidP="002D2765">
      <w:pPr>
        <w:jc w:val="both"/>
        <w:rPr>
          <w:rFonts w:eastAsia="Times New Roman"/>
          <w:bCs/>
          <w:u w:val="single"/>
          <w:lang w:val="en-PH"/>
        </w:rPr>
      </w:pPr>
      <w:r w:rsidRPr="002D2765">
        <w:rPr>
          <w:rFonts w:eastAsia="Times New Roman"/>
          <w:b/>
          <w:bCs/>
          <w:u w:val="single"/>
          <w:lang w:val="en-PH"/>
        </w:rPr>
        <w:t>Proposed Actions and Next Steps</w:t>
      </w:r>
    </w:p>
    <w:p w14:paraId="5E9C4483" w14:textId="77777777" w:rsidR="002D2765" w:rsidRPr="002D2765" w:rsidRDefault="002D2765" w:rsidP="002D2765">
      <w:pPr>
        <w:jc w:val="both"/>
        <w:rPr>
          <w:rFonts w:eastAsia="Times New Roman"/>
          <w:bCs/>
          <w:lang w:val="en-PH"/>
        </w:rPr>
      </w:pPr>
      <w:r w:rsidRPr="002D2765">
        <w:rPr>
          <w:rFonts w:eastAsia="Times New Roman"/>
          <w:bCs/>
          <w:lang w:val="en-PH"/>
        </w:rPr>
        <w:t>The UK FCA has invited public comments on the consultation proposals until 14 March 2025. The feedback will be reviewed before finalising the regulatory framework. Subject to approval by the UK FCA Board, the new rules are expected to be finalised by summer 2025, with implementation anticipated in early 2026.</w:t>
      </w:r>
    </w:p>
    <w:p w14:paraId="2BFD45AF" w14:textId="77777777" w:rsidR="002D2765" w:rsidRPr="002D2765" w:rsidRDefault="002D2765" w:rsidP="00654900">
      <w:pPr>
        <w:rPr>
          <w:rFonts w:eastAsia="Times New Roman"/>
          <w:bCs/>
          <w:lang w:val="en-PH"/>
        </w:rPr>
      </w:pPr>
      <w:r w:rsidRPr="002D2765">
        <w:rPr>
          <w:rFonts w:eastAsia="Times New Roman"/>
          <w:bCs/>
          <w:lang w:val="en-PH"/>
        </w:rPr>
        <w:t>(Source: </w:t>
      </w:r>
      <w:hyperlink r:id="rId26" w:tgtFrame="_blank" w:history="1">
        <w:r w:rsidRPr="002D2765">
          <w:rPr>
            <w:rStyle w:val="Hyperlink"/>
            <w:rFonts w:eastAsia="Times New Roman"/>
            <w:bCs/>
            <w:color w:val="FF6E00"/>
            <w:lang w:val="en-PH"/>
          </w:rPr>
          <w:t>https://www.fca.org.uk/publications/consultation-papers/cp25-2-further-changes-public-offers-admissions-trading-regime-uk-listing-rules</w:t>
        </w:r>
      </w:hyperlink>
      <w:r w:rsidRPr="002D2765">
        <w:rPr>
          <w:rFonts w:eastAsia="Times New Roman"/>
          <w:bCs/>
          <w:lang w:val="en-PH"/>
        </w:rPr>
        <w:t>)</w:t>
      </w:r>
    </w:p>
    <w:p w14:paraId="70A54CFE" w14:textId="77777777" w:rsidR="00665A32" w:rsidRDefault="00665A32" w:rsidP="00643EFA">
      <w:pPr>
        <w:jc w:val="both"/>
        <w:rPr>
          <w:rFonts w:eastAsia="Times New Roman"/>
          <w:bCs/>
          <w:lang w:val="en-PH"/>
        </w:rPr>
      </w:pPr>
    </w:p>
    <w:p w14:paraId="6C9E9DE4" w14:textId="77777777" w:rsidR="00193F55" w:rsidRPr="00193F55" w:rsidRDefault="00193F55" w:rsidP="00654900">
      <w:pPr>
        <w:rPr>
          <w:b/>
          <w:bCs/>
          <w:color w:val="FF6E00"/>
          <w:lang w:val="en-PH"/>
        </w:rPr>
      </w:pPr>
      <w:r w:rsidRPr="00193F55">
        <w:rPr>
          <w:b/>
          <w:bCs/>
          <w:color w:val="FF6E00"/>
          <w:lang w:val="en-PH"/>
        </w:rPr>
        <w:t>UK FCA Confiscates Over £500,000 from Convicted Insider Dealer in Landmark Enforcement Action</w:t>
      </w:r>
    </w:p>
    <w:p w14:paraId="0E68239E" w14:textId="77777777" w:rsidR="008C147A" w:rsidRPr="008C147A" w:rsidRDefault="008C147A" w:rsidP="008C147A">
      <w:pPr>
        <w:jc w:val="both"/>
        <w:rPr>
          <w:rFonts w:eastAsia="Times New Roman"/>
          <w:bCs/>
          <w:lang w:val="en-PH"/>
        </w:rPr>
      </w:pPr>
      <w:r w:rsidRPr="008C147A">
        <w:rPr>
          <w:rFonts w:eastAsia="Times New Roman"/>
          <w:bCs/>
          <w:lang w:val="en-PH"/>
        </w:rPr>
        <w:t>On 3 February 2025, the United Kingdom Financial Conduct Authority (</w:t>
      </w:r>
      <w:r w:rsidRPr="008C147A">
        <w:rPr>
          <w:rFonts w:eastAsia="Times New Roman"/>
          <w:b/>
          <w:bCs/>
          <w:lang w:val="en-PH"/>
        </w:rPr>
        <w:t>UK FCA</w:t>
      </w:r>
      <w:r w:rsidRPr="008C147A">
        <w:rPr>
          <w:rFonts w:eastAsia="Times New Roman"/>
          <w:bCs/>
          <w:lang w:val="en-PH"/>
        </w:rPr>
        <w:t>) announced that it had secured a confiscation order of £586,711.01 against Mohammed Zina, a convicted insider dealer. The confiscation order was issued on 29 January 2025, requiring Zina to pay the full amount within three months. Failure to do so will result in an additional five-year prison sentence, after which he will remain liable to repay the amount in full, with interest.</w:t>
      </w:r>
    </w:p>
    <w:p w14:paraId="4C2B27AF" w14:textId="77777777" w:rsidR="008C147A" w:rsidRPr="008C147A" w:rsidRDefault="008C147A" w:rsidP="008C147A">
      <w:pPr>
        <w:jc w:val="both"/>
        <w:rPr>
          <w:rFonts w:eastAsia="Times New Roman"/>
          <w:bCs/>
          <w:lang w:val="en-PH"/>
        </w:rPr>
      </w:pPr>
      <w:r w:rsidRPr="008C147A">
        <w:rPr>
          <w:rFonts w:eastAsia="Times New Roman"/>
          <w:bCs/>
          <w:lang w:val="en-PH"/>
        </w:rPr>
        <w:lastRenderedPageBreak/>
        <w:t>The confiscation order represents all of Zina’s available assets and is part of the UK FCA’s continued efforts to ensure that individuals convicted of financial crimes do not benefit from illicit gains.</w:t>
      </w:r>
    </w:p>
    <w:p w14:paraId="2E9E42C3" w14:textId="77777777" w:rsidR="008C147A" w:rsidRPr="008C147A" w:rsidRDefault="008C147A" w:rsidP="008C147A">
      <w:pPr>
        <w:jc w:val="both"/>
        <w:rPr>
          <w:rFonts w:eastAsia="Times New Roman"/>
          <w:bCs/>
          <w:lang w:val="en-PH"/>
        </w:rPr>
      </w:pPr>
      <w:r w:rsidRPr="008C147A">
        <w:rPr>
          <w:rFonts w:eastAsia="Times New Roman"/>
          <w:bCs/>
          <w:lang w:val="en-PH"/>
        </w:rPr>
        <w:t>The case stems from Zina’s time as an analyst at Goldman Sachs International (Goldman Sachs) between 2014 and 2017. In 2016, he joined the firm’s Conflicts Resolutions Group, which gave him access to confidential, market-sensitive information regarding mergers and acquisitions that Goldman Sachs was advising on. Between 15 July 2016 and 04 December 2017, Zina used this privileged information to engage in insider trading in six different shareholdings, obtaining a total return of approximately £140,486.</w:t>
      </w:r>
    </w:p>
    <w:p w14:paraId="0873F2AF" w14:textId="77777777" w:rsidR="008C147A" w:rsidRPr="008C147A" w:rsidRDefault="008C147A" w:rsidP="008C147A">
      <w:pPr>
        <w:jc w:val="both"/>
        <w:rPr>
          <w:rFonts w:eastAsia="Times New Roman"/>
          <w:bCs/>
          <w:lang w:val="en-PH"/>
        </w:rPr>
      </w:pPr>
      <w:r w:rsidRPr="008C147A">
        <w:rPr>
          <w:rFonts w:eastAsia="Times New Roman"/>
          <w:bCs/>
          <w:lang w:val="en-PH"/>
        </w:rPr>
        <w:t>The UK FCA’s investigation also uncovered financial fraud linked to the insider trading activities. Zina had partially funded his trading through three fraudulent loans obtained from Tesco Bank, amounting to £95,000. His actions violated multiple financial crime regulations, including insider trading and fraud.</w:t>
      </w:r>
    </w:p>
    <w:p w14:paraId="6331CDC2" w14:textId="77777777" w:rsidR="008C147A" w:rsidRPr="008C147A" w:rsidRDefault="008C147A" w:rsidP="008C147A">
      <w:pPr>
        <w:jc w:val="both"/>
        <w:rPr>
          <w:rFonts w:eastAsia="Times New Roman"/>
          <w:bCs/>
          <w:lang w:val="en-PH"/>
        </w:rPr>
      </w:pPr>
      <w:r w:rsidRPr="008C147A">
        <w:rPr>
          <w:rFonts w:eastAsia="Times New Roman"/>
          <w:bCs/>
          <w:lang w:val="en-PH"/>
        </w:rPr>
        <w:t>Following an extensive investigation, Zina was convicted of all nine offences in February 2023 and sentenced to 22 months’ imprisonment. The UK court later assessed the total value of his criminal benefit across all offences, including fraud and insider dealing, at £1,091,424.72 (adjusted for inflation as of 2025). The insider trading violations specifically involved shares in Arm Holdings plc, Alternative Networks plc, Punch Taverns plc, Shawbrook plc, HSN Inc., and Snyder’s Lance Inc.</w:t>
      </w:r>
    </w:p>
    <w:p w14:paraId="08AF6F6F" w14:textId="77777777" w:rsidR="008C147A" w:rsidRPr="008C147A" w:rsidRDefault="008C147A" w:rsidP="008C147A">
      <w:pPr>
        <w:jc w:val="both"/>
        <w:rPr>
          <w:rFonts w:eastAsia="Times New Roman"/>
          <w:bCs/>
          <w:lang w:val="en-PH"/>
        </w:rPr>
      </w:pPr>
      <w:r w:rsidRPr="008C147A">
        <w:rPr>
          <w:rFonts w:eastAsia="Times New Roman"/>
          <w:bCs/>
          <w:lang w:val="en-PH"/>
        </w:rPr>
        <w:t>The confiscation order was issued on 29 January 2025, reflecting the full value of Zina’s available assets at the time of enforcement. UK FCA’s actions follow the </w:t>
      </w:r>
      <w:hyperlink r:id="rId27" w:tgtFrame="_blank" w:history="1">
        <w:r w:rsidRPr="008C147A">
          <w:rPr>
            <w:rStyle w:val="Hyperlink"/>
            <w:rFonts w:eastAsia="Times New Roman"/>
            <w:bCs/>
            <w:color w:val="FF6E00"/>
            <w:u w:val="none"/>
            <w:lang w:val="en-PH"/>
          </w:rPr>
          <w:t>UK Proceeds of Crime Act 2002</w:t>
        </w:r>
      </w:hyperlink>
      <w:r w:rsidRPr="008C147A">
        <w:rPr>
          <w:rFonts w:eastAsia="Times New Roman"/>
          <w:bCs/>
          <w:lang w:val="en-PH"/>
        </w:rPr>
        <w:t>, which allows for the confiscation of assets obtained through criminal conduct. The court calculated Zina’s criminal benefit based on the total gross value of the shares at the time of sale rather than just the net profits made.</w:t>
      </w:r>
    </w:p>
    <w:p w14:paraId="4D52B4A3" w14:textId="77777777" w:rsidR="008C147A" w:rsidRPr="008C147A" w:rsidRDefault="008C147A" w:rsidP="008C147A">
      <w:pPr>
        <w:jc w:val="both"/>
        <w:rPr>
          <w:rFonts w:eastAsia="Times New Roman"/>
          <w:bCs/>
          <w:lang w:val="en-PH"/>
        </w:rPr>
      </w:pPr>
      <w:r w:rsidRPr="008C147A">
        <w:rPr>
          <w:rFonts w:eastAsia="Times New Roman"/>
          <w:bCs/>
          <w:lang w:val="en-PH"/>
        </w:rPr>
        <w:t>Zina has been ordered to pay the full confiscation amount within three months. If he fails to comply, he will be sentenced to an additional five years in prison. Upon release, the obligation to pay will remain, including interest on the outstanding sum. UK FCA has also confirmed that it will seek to enforce the order against any further assets that may become available.</w:t>
      </w:r>
    </w:p>
    <w:p w14:paraId="78E8BDB5" w14:textId="77777777" w:rsidR="008C147A" w:rsidRPr="008C147A" w:rsidRDefault="008C147A" w:rsidP="008C147A">
      <w:pPr>
        <w:jc w:val="both"/>
        <w:rPr>
          <w:rFonts w:eastAsia="Times New Roman"/>
          <w:bCs/>
          <w:lang w:val="en-PH"/>
        </w:rPr>
      </w:pPr>
      <w:r w:rsidRPr="008C147A">
        <w:rPr>
          <w:rFonts w:eastAsia="Times New Roman"/>
          <w:bCs/>
          <w:lang w:val="en-PH"/>
        </w:rPr>
        <w:t>Therese Chambers, UK FCA’s joint executive director of enforcement and market oversight, stated, </w:t>
      </w:r>
      <w:r w:rsidRPr="008C147A">
        <w:rPr>
          <w:rFonts w:eastAsia="Times New Roman"/>
          <w:bCs/>
          <w:i/>
          <w:iCs/>
          <w:lang w:val="en-PH"/>
        </w:rPr>
        <w:t>“Insider dealing harms the integrity of our markets. As well as prosecuting insider dealers, we will not allow them to keep any part of their illicit profits. We have confiscated the entirety of Mr Zina’s assets, demonstrating that crime does not pay.”</w:t>
      </w:r>
    </w:p>
    <w:p w14:paraId="13C2C98F" w14:textId="77777777" w:rsidR="008C147A" w:rsidRPr="008C147A" w:rsidRDefault="008C147A" w:rsidP="00654900">
      <w:pPr>
        <w:rPr>
          <w:rFonts w:eastAsia="Times New Roman"/>
          <w:bCs/>
          <w:lang w:val="en-PH"/>
        </w:rPr>
      </w:pPr>
      <w:r w:rsidRPr="008C147A">
        <w:rPr>
          <w:rFonts w:eastAsia="Times New Roman"/>
          <w:bCs/>
          <w:lang w:val="en-PH"/>
        </w:rPr>
        <w:t>(Source:</w:t>
      </w:r>
      <w:r w:rsidRPr="008C147A">
        <w:rPr>
          <w:rFonts w:eastAsia="Times New Roman"/>
          <w:bCs/>
          <w:color w:val="FF6E00"/>
          <w:lang w:val="en-PH"/>
        </w:rPr>
        <w:t> </w:t>
      </w:r>
      <w:hyperlink r:id="rId28" w:tgtFrame="_blank" w:history="1">
        <w:r w:rsidRPr="008C147A">
          <w:rPr>
            <w:rStyle w:val="Hyperlink"/>
            <w:rFonts w:eastAsia="Times New Roman"/>
            <w:bCs/>
            <w:color w:val="FF6E00"/>
            <w:lang w:val="en-PH"/>
          </w:rPr>
          <w:t>https://www.fca.org.uk/news/press-releases/fca-confiscates-over-500000-convicted-insider-dealer</w:t>
        </w:r>
      </w:hyperlink>
      <w:r w:rsidRPr="008C147A">
        <w:rPr>
          <w:rFonts w:eastAsia="Times New Roman"/>
          <w:bCs/>
          <w:lang w:val="en-PH"/>
        </w:rPr>
        <w:t>)</w:t>
      </w:r>
    </w:p>
    <w:p w14:paraId="74EA7E98" w14:textId="77777777" w:rsidR="00665A32" w:rsidRDefault="00665A32" w:rsidP="00643EFA">
      <w:pPr>
        <w:jc w:val="both"/>
        <w:rPr>
          <w:rFonts w:eastAsia="Times New Roman"/>
          <w:bCs/>
          <w:lang w:val="en-PH"/>
        </w:rPr>
      </w:pPr>
    </w:p>
    <w:p w14:paraId="13A7079A" w14:textId="77777777" w:rsidR="00193F55" w:rsidRPr="00193F55" w:rsidRDefault="00193F55" w:rsidP="00654900">
      <w:pPr>
        <w:rPr>
          <w:b/>
          <w:bCs/>
          <w:color w:val="FF6E00"/>
          <w:lang w:val="en-PH"/>
        </w:rPr>
      </w:pPr>
      <w:r w:rsidRPr="00193F55">
        <w:rPr>
          <w:b/>
          <w:bCs/>
          <w:color w:val="FF6E00"/>
          <w:lang w:val="en-PH"/>
        </w:rPr>
        <w:t>US SEC Secures Final Judgment against Investment Adviser Over Fraudulent “Cherry-Picking” Scheme</w:t>
      </w:r>
    </w:p>
    <w:p w14:paraId="4B03D2A1" w14:textId="77777777" w:rsidR="006D3E34" w:rsidRPr="006D3E34" w:rsidRDefault="006D3E34" w:rsidP="006D3E34">
      <w:pPr>
        <w:jc w:val="both"/>
        <w:rPr>
          <w:rFonts w:eastAsia="Times New Roman"/>
          <w:bCs/>
          <w:lang w:val="en-PH"/>
        </w:rPr>
      </w:pPr>
      <w:r w:rsidRPr="006D3E34">
        <w:rPr>
          <w:rFonts w:eastAsia="Times New Roman"/>
          <w:bCs/>
          <w:lang w:val="en-PH"/>
        </w:rPr>
        <w:t>On 23 December 2024, the United States Securities and Exchange Commission (</w:t>
      </w:r>
      <w:r w:rsidRPr="006D3E34">
        <w:rPr>
          <w:rFonts w:eastAsia="Times New Roman"/>
          <w:b/>
          <w:bCs/>
          <w:lang w:val="en-PH"/>
        </w:rPr>
        <w:t>US SEC</w:t>
      </w:r>
      <w:r w:rsidRPr="006D3E34">
        <w:rPr>
          <w:rFonts w:eastAsia="Times New Roman"/>
          <w:bCs/>
          <w:lang w:val="en-PH"/>
        </w:rPr>
        <w:t>) secured a </w:t>
      </w:r>
      <w:hyperlink r:id="rId29" w:tgtFrame="_blank" w:history="1">
        <w:r w:rsidRPr="006D3E34">
          <w:rPr>
            <w:rStyle w:val="Hyperlink"/>
            <w:rFonts w:eastAsia="Times New Roman"/>
            <w:bCs/>
            <w:color w:val="FF6E00"/>
            <w:u w:val="none"/>
            <w:lang w:val="en-PH"/>
          </w:rPr>
          <w:t>final judgment</w:t>
        </w:r>
      </w:hyperlink>
      <w:r w:rsidRPr="006D3E34">
        <w:rPr>
          <w:rFonts w:eastAsia="Times New Roman"/>
          <w:bCs/>
          <w:color w:val="FF6E00"/>
          <w:lang w:val="en-PH"/>
        </w:rPr>
        <w:t> </w:t>
      </w:r>
      <w:r w:rsidRPr="006D3E34">
        <w:rPr>
          <w:rFonts w:eastAsia="Times New Roman"/>
          <w:bCs/>
          <w:lang w:val="en-PH"/>
        </w:rPr>
        <w:t>against Steven J. Susoeff and his investment advisory firm, Steve Susoeff, LLC, doing business as Meritage Financial Group. The judgment was issued by the United States District Court for the District of Nevada in </w:t>
      </w:r>
      <w:r w:rsidRPr="006D3E34">
        <w:rPr>
          <w:rFonts w:eastAsia="Times New Roman"/>
          <w:bCs/>
          <w:i/>
          <w:iCs/>
          <w:lang w:val="en-PH"/>
        </w:rPr>
        <w:t>Securities and Exchange Commission v. Steven J. Susoeff and Steve Susoeff, LLC (dba Meritage Financial Group), Civil Action No. 2:23-cv-00173</w:t>
      </w:r>
      <w:r w:rsidRPr="006D3E34">
        <w:rPr>
          <w:rFonts w:eastAsia="Times New Roman"/>
          <w:bCs/>
          <w:lang w:val="en-PH"/>
        </w:rPr>
        <w:t>. The case arose from allegations that Susoeff engaged in a fraudulent “cherry-picking” scheme, improperly allocating investment profits in violation of United States federal securities laws.</w:t>
      </w:r>
    </w:p>
    <w:p w14:paraId="6CB44440" w14:textId="77777777" w:rsidR="006D3E34" w:rsidRPr="006D3E34" w:rsidRDefault="006D3E34" w:rsidP="006D3E34">
      <w:pPr>
        <w:jc w:val="both"/>
        <w:rPr>
          <w:rFonts w:eastAsia="Times New Roman"/>
          <w:bCs/>
          <w:lang w:val="en-PH"/>
        </w:rPr>
      </w:pPr>
      <w:r w:rsidRPr="006D3E34">
        <w:rPr>
          <w:rFonts w:eastAsia="Times New Roman"/>
          <w:bCs/>
          <w:lang w:val="en-PH"/>
        </w:rPr>
        <w:lastRenderedPageBreak/>
        <w:t>According to the </w:t>
      </w:r>
      <w:hyperlink r:id="rId30" w:tgtFrame="_blank" w:history="1">
        <w:r w:rsidRPr="006D3E34">
          <w:rPr>
            <w:rStyle w:val="Hyperlink"/>
            <w:rFonts w:eastAsia="Times New Roman"/>
            <w:bCs/>
            <w:color w:val="FF6E00"/>
            <w:u w:val="none"/>
            <w:lang w:val="en-PH"/>
          </w:rPr>
          <w:t>complaint</w:t>
        </w:r>
      </w:hyperlink>
      <w:r w:rsidRPr="006D3E34">
        <w:rPr>
          <w:rFonts w:eastAsia="Times New Roman"/>
          <w:bCs/>
          <w:lang w:val="en-PH"/>
        </w:rPr>
        <w:t>, filed on 1 February 2023, the US SEC alleged that Susoeff, as the sole owner and principal of Meritage Financial Group, engaged in a scheme where he systematically directed profitable trades to favoured accounts, including those of his girlfriend and business associate, while consistently assigning unprofitable trades to disfavoured clients’ accounts. The US SEC claimed that this fraudulent practice occurred between January and July 2021, during which time Meritage Financial Group managed approximately $8 million in assets for 59 clients​.</w:t>
      </w:r>
    </w:p>
    <w:p w14:paraId="5AAB3C51" w14:textId="77777777" w:rsidR="006D3E34" w:rsidRPr="006D3E34" w:rsidRDefault="006D3E34" w:rsidP="006D3E34">
      <w:pPr>
        <w:jc w:val="both"/>
        <w:rPr>
          <w:rFonts w:eastAsia="Times New Roman"/>
          <w:bCs/>
          <w:lang w:val="en-PH"/>
        </w:rPr>
      </w:pPr>
      <w:r w:rsidRPr="006D3E34">
        <w:rPr>
          <w:rFonts w:eastAsia="Times New Roman"/>
          <w:bCs/>
          <w:lang w:val="en-PH"/>
        </w:rPr>
        <w:t>The case against Susoeff and Meritage Financial Group was based on violations of several provisions of United States federal securities laws. The US SEC accused them of breaching the antifraud provisions of Section 10(b) of the United States Securities Exchange Act of 1934 and US SEC Rules 10b-5(a) and (c) thereunder, Sections 17(a)(1) and (3) of the United States Securities Act of 1933, and Sections 206(1) and 206(2) of the United States Investment Advisers Act of 1940​. The scheme, which involved executing trades through a block trading account, enabled Susoeff to delay trade allocations until he could determine their profitability, directing gains to preferred accounts while assigning losses to unsuspecting clients​.</w:t>
      </w:r>
    </w:p>
    <w:p w14:paraId="7635CD02" w14:textId="77777777" w:rsidR="006D3E34" w:rsidRPr="006D3E34" w:rsidRDefault="006D3E34" w:rsidP="006D3E34">
      <w:pPr>
        <w:jc w:val="both"/>
        <w:rPr>
          <w:rFonts w:eastAsia="Times New Roman"/>
          <w:bCs/>
          <w:lang w:val="en-PH"/>
        </w:rPr>
      </w:pPr>
      <w:r w:rsidRPr="006D3E34">
        <w:rPr>
          <w:rFonts w:eastAsia="Times New Roman"/>
          <w:bCs/>
          <w:lang w:val="en-PH"/>
        </w:rPr>
        <w:t>Despite multiple warnings from the brokerage firm that held his clients’ accounts, Susoeff allegedly continued the practice until the firm ultimately removed him from its trading platform.</w:t>
      </w:r>
    </w:p>
    <w:p w14:paraId="0906C0EA" w14:textId="77777777" w:rsidR="006D3E34" w:rsidRPr="006D3E34" w:rsidRDefault="006D3E34" w:rsidP="006D3E34">
      <w:pPr>
        <w:jc w:val="both"/>
        <w:rPr>
          <w:rFonts w:eastAsia="Times New Roman"/>
          <w:bCs/>
          <w:lang w:val="en-PH"/>
        </w:rPr>
      </w:pPr>
      <w:r w:rsidRPr="006D3E34">
        <w:rPr>
          <w:rFonts w:eastAsia="Times New Roman"/>
          <w:bCs/>
          <w:lang w:val="en-PH"/>
        </w:rPr>
        <w:t>The United States District Court’s final judgment permanently enjoined Susoeff from committing future violations of the relevant United States securities laws. He was ordered to pay $54,232 in disgorgement, representing the net profits obtained from the fraudulent scheme, along with prejudgment interest of $11,695. Additionally, the court imposed a civil penalty of $144,566​.</w:t>
      </w:r>
    </w:p>
    <w:p w14:paraId="632375CC" w14:textId="77777777" w:rsidR="006D3E34" w:rsidRPr="006D3E34" w:rsidRDefault="006D3E34" w:rsidP="006D3E34">
      <w:pPr>
        <w:jc w:val="both"/>
        <w:rPr>
          <w:rFonts w:eastAsia="Times New Roman"/>
          <w:bCs/>
          <w:lang w:val="en-PH"/>
        </w:rPr>
      </w:pPr>
      <w:r w:rsidRPr="006D3E34">
        <w:rPr>
          <w:rFonts w:eastAsia="Times New Roman"/>
          <w:bCs/>
          <w:lang w:val="en-PH"/>
        </w:rPr>
        <w:t>The US SEC’s litigation and investigation were conducted by teams from its Los Angeles Regional Office, including attorneys Charles Canter and Douglas M. Miller, with investigative efforts led by Kelly C. Bowers and Robert H. Conrrad, and supported by the Division of Economic and Risk Analysis​.</w:t>
      </w:r>
    </w:p>
    <w:p w14:paraId="626AF411" w14:textId="77777777" w:rsidR="006D3E34" w:rsidRPr="006D3E34" w:rsidRDefault="006D3E34" w:rsidP="00654900">
      <w:pPr>
        <w:rPr>
          <w:rFonts w:eastAsia="Times New Roman"/>
          <w:bCs/>
          <w:lang w:val="en-PH"/>
        </w:rPr>
      </w:pPr>
      <w:r w:rsidRPr="006D3E34">
        <w:rPr>
          <w:rFonts w:eastAsia="Times New Roman"/>
          <w:bCs/>
          <w:lang w:val="en-PH"/>
        </w:rPr>
        <w:t>(Source: </w:t>
      </w:r>
      <w:hyperlink r:id="rId31" w:tgtFrame="_blank" w:history="1">
        <w:r w:rsidRPr="006D3E34">
          <w:rPr>
            <w:rStyle w:val="Hyperlink"/>
            <w:rFonts w:eastAsia="Times New Roman"/>
            <w:bCs/>
            <w:color w:val="FF6E00"/>
            <w:lang w:val="en-PH"/>
          </w:rPr>
          <w:t>https://www.sec.gov/enforcement-litigation/litigation-releases/lr-26239</w:t>
        </w:r>
      </w:hyperlink>
      <w:r w:rsidRPr="006D3E34">
        <w:rPr>
          <w:rFonts w:eastAsia="Times New Roman"/>
          <w:bCs/>
          <w:lang w:val="en-PH"/>
        </w:rPr>
        <w:t>, </w:t>
      </w:r>
      <w:hyperlink r:id="rId32" w:tgtFrame="_blank" w:history="1">
        <w:r w:rsidRPr="006D3E34">
          <w:rPr>
            <w:rStyle w:val="Hyperlink"/>
            <w:rFonts w:eastAsia="Times New Roman"/>
            <w:bCs/>
            <w:color w:val="FF6E00"/>
            <w:lang w:val="en-PH"/>
          </w:rPr>
          <w:t>https://www.sec.gov/files/litigation/complaints/2025/comp26239.pdf</w:t>
        </w:r>
      </w:hyperlink>
      <w:r w:rsidRPr="006D3E34">
        <w:rPr>
          <w:rFonts w:eastAsia="Times New Roman"/>
          <w:bCs/>
          <w:lang w:val="en-PH"/>
        </w:rPr>
        <w:t>, </w:t>
      </w:r>
      <w:hyperlink r:id="rId33" w:tgtFrame="_blank" w:history="1">
        <w:r w:rsidRPr="006D3E34">
          <w:rPr>
            <w:rStyle w:val="Hyperlink"/>
            <w:rFonts w:eastAsia="Times New Roman"/>
            <w:bCs/>
            <w:color w:val="FF6E00"/>
            <w:lang w:val="en-PH"/>
          </w:rPr>
          <w:t>https://www.sec.gov/files/litigation/litreleases/2025/judg26239.pdf</w:t>
        </w:r>
      </w:hyperlink>
      <w:r w:rsidRPr="006D3E34">
        <w:rPr>
          <w:rFonts w:eastAsia="Times New Roman"/>
          <w:bCs/>
          <w:lang w:val="en-PH"/>
        </w:rPr>
        <w:t>)</w:t>
      </w:r>
    </w:p>
    <w:p w14:paraId="6A66CB4C" w14:textId="77777777" w:rsidR="00665A32" w:rsidRDefault="00665A32" w:rsidP="00643EFA">
      <w:pPr>
        <w:jc w:val="both"/>
        <w:rPr>
          <w:rFonts w:eastAsia="Times New Roman"/>
          <w:bCs/>
          <w:lang w:val="en-PH"/>
        </w:rPr>
      </w:pPr>
    </w:p>
    <w:p w14:paraId="57A9C0FE" w14:textId="77777777" w:rsidR="00193F55" w:rsidRPr="00193F55" w:rsidRDefault="00193F55" w:rsidP="00654900">
      <w:pPr>
        <w:rPr>
          <w:b/>
          <w:bCs/>
          <w:color w:val="FF6E00"/>
          <w:lang w:val="en-PH"/>
        </w:rPr>
      </w:pPr>
      <w:r w:rsidRPr="00193F55">
        <w:rPr>
          <w:b/>
          <w:bCs/>
          <w:color w:val="FF6E00"/>
          <w:lang w:val="en-PH"/>
        </w:rPr>
        <w:t>US SEC Announces Executive Staff Appointments Under Acting Chairman Mark T. Uyeda</w:t>
      </w:r>
    </w:p>
    <w:p w14:paraId="0CF300F6" w14:textId="77777777" w:rsidR="00C73E84" w:rsidRPr="00C73E84" w:rsidRDefault="00C73E84" w:rsidP="00C73E84">
      <w:pPr>
        <w:jc w:val="both"/>
        <w:rPr>
          <w:rFonts w:eastAsia="Times New Roman"/>
          <w:bCs/>
          <w:lang w:val="en-PH"/>
        </w:rPr>
      </w:pPr>
      <w:r w:rsidRPr="00C73E84">
        <w:rPr>
          <w:rFonts w:eastAsia="Times New Roman"/>
          <w:bCs/>
          <w:lang w:val="en-PH"/>
        </w:rPr>
        <w:t>On 04 February 2025, the United States Securities and Exchange Commission (</w:t>
      </w:r>
      <w:r w:rsidRPr="00C73E84">
        <w:rPr>
          <w:rFonts w:eastAsia="Times New Roman"/>
          <w:b/>
          <w:bCs/>
          <w:lang w:val="en-PH"/>
        </w:rPr>
        <w:t>US SEC</w:t>
      </w:r>
      <w:r w:rsidRPr="00C73E84">
        <w:rPr>
          <w:rFonts w:eastAsia="Times New Roman"/>
          <w:bCs/>
          <w:lang w:val="en-PH"/>
        </w:rPr>
        <w:t>) announced the executive staff appointments under Acting Chairman Mark T. Uyeda. The newly appointed team will advise the Acting Chairman on matters before the Commission and collaborate closely with US SEC staff to ensure efficient regulatory oversight.</w:t>
      </w:r>
    </w:p>
    <w:p w14:paraId="6178A11A" w14:textId="77777777" w:rsidR="00C73E84" w:rsidRPr="00C73E84" w:rsidRDefault="00C73E84" w:rsidP="00C73E84">
      <w:pPr>
        <w:jc w:val="both"/>
        <w:rPr>
          <w:rFonts w:eastAsia="Times New Roman"/>
          <w:bCs/>
          <w:lang w:val="en-PH"/>
        </w:rPr>
      </w:pPr>
      <w:r w:rsidRPr="00C73E84">
        <w:rPr>
          <w:rFonts w:eastAsia="Times New Roman"/>
          <w:bCs/>
          <w:lang w:val="en-PH"/>
        </w:rPr>
        <w:t>Gabriel Eckstein has been appointed as Chief of Staff at the US SEC. Steven Levine has been appointed as Deputy Chief of Staff at the US SEC.</w:t>
      </w:r>
    </w:p>
    <w:p w14:paraId="6BC94413" w14:textId="77777777" w:rsidR="00C73E84" w:rsidRPr="00C73E84" w:rsidRDefault="00C73E84" w:rsidP="00C73E84">
      <w:pPr>
        <w:jc w:val="both"/>
        <w:rPr>
          <w:rFonts w:eastAsia="Times New Roman"/>
          <w:bCs/>
          <w:lang w:val="en-PH"/>
        </w:rPr>
      </w:pPr>
      <w:r w:rsidRPr="00C73E84">
        <w:rPr>
          <w:rFonts w:eastAsia="Times New Roman"/>
          <w:bCs/>
          <w:lang w:val="en-PH"/>
        </w:rPr>
        <w:t>Holly Hunter-Ceci, Charles Lee, Jaime Marinaro, and Kelsey Pristach have been appointed as Senior Advisors to the Acting Chairman at the US SEC. Peter Gimbrere has been appointed as Managing Executive at the US SEC.</w:t>
      </w:r>
    </w:p>
    <w:p w14:paraId="234580BE" w14:textId="77777777" w:rsidR="00C73E84" w:rsidRPr="00C73E84" w:rsidRDefault="00C73E84" w:rsidP="00C73E84">
      <w:pPr>
        <w:jc w:val="both"/>
        <w:rPr>
          <w:rFonts w:eastAsia="Times New Roman"/>
          <w:bCs/>
          <w:lang w:val="en-PH"/>
        </w:rPr>
      </w:pPr>
      <w:r w:rsidRPr="00C73E84">
        <w:rPr>
          <w:rFonts w:eastAsia="Times New Roman"/>
          <w:bCs/>
          <w:lang w:val="en-PH"/>
        </w:rPr>
        <w:t>Andrew Vollmer has been appointed as Counselor to the Acting Chairman at the US SEC. Graham Conlan, David Marcinkus, and Richard Gabbert have been appointed as Counsel to the Acting Chairman at the US SEC. Richard Gabbert has also been appointed as Chief of Staff for the Crypto Task Force at the US SEC.</w:t>
      </w:r>
    </w:p>
    <w:p w14:paraId="3C68CBF8" w14:textId="77777777" w:rsidR="00C73E84" w:rsidRPr="00C73E84" w:rsidRDefault="00C73E84" w:rsidP="00C73E84">
      <w:pPr>
        <w:jc w:val="both"/>
        <w:rPr>
          <w:rFonts w:eastAsia="Times New Roman"/>
          <w:bCs/>
          <w:lang w:val="en-PH"/>
        </w:rPr>
      </w:pPr>
      <w:r w:rsidRPr="00C73E84">
        <w:rPr>
          <w:rFonts w:eastAsia="Times New Roman"/>
          <w:bCs/>
          <w:lang w:val="en-PH"/>
        </w:rPr>
        <w:lastRenderedPageBreak/>
        <w:t>Taylor Asher has been appointed as Senior Policy Advisor to the Acting Chairman and Chief Policy Advisor for the Crypto Task Force at the US SEC. Landon Zinda has been appointed as Counsel to the Acting Chairman and Senior Advisor for the Crypto Task Force at the US SEC.</w:t>
      </w:r>
    </w:p>
    <w:p w14:paraId="1B65C5DC" w14:textId="77777777" w:rsidR="00C73E84" w:rsidRPr="00C73E84" w:rsidRDefault="00C73E84" w:rsidP="00C73E84">
      <w:pPr>
        <w:jc w:val="both"/>
        <w:rPr>
          <w:rFonts w:eastAsia="Times New Roman"/>
          <w:bCs/>
          <w:lang w:val="en-PH"/>
        </w:rPr>
      </w:pPr>
      <w:r w:rsidRPr="00C73E84">
        <w:rPr>
          <w:rFonts w:eastAsia="Times New Roman"/>
          <w:bCs/>
          <w:lang w:val="en-PH"/>
        </w:rPr>
        <w:t>Letia Butler has been appointed as Confidential Assistant at the US SEC. Sharon Freeman has been appointed as Program Support Specialist at the US SEC. Malika Sullivan has been appointed as Receptionist at the US SEC.</w:t>
      </w:r>
    </w:p>
    <w:p w14:paraId="2A643774" w14:textId="77777777" w:rsidR="00C73E84" w:rsidRPr="00C73E84" w:rsidRDefault="00C73E84" w:rsidP="00C73E84">
      <w:pPr>
        <w:jc w:val="both"/>
        <w:rPr>
          <w:rFonts w:eastAsia="Times New Roman"/>
          <w:bCs/>
          <w:lang w:val="en-PH"/>
        </w:rPr>
      </w:pPr>
      <w:r w:rsidRPr="00C73E84">
        <w:rPr>
          <w:rFonts w:eastAsia="Times New Roman"/>
          <w:bCs/>
          <w:lang w:val="en-PH"/>
        </w:rPr>
        <w:t>In addition to these executive staff announcements, Antonia Apps has been appointed as Acting Deputy Director for the Division of Enforcement at the US SEC. Sebastian Gomez Abero has been appointed as Acting Deputy Director for Legal and Regulatory Policy within the Division of Corporation Finance at the US SEC.</w:t>
      </w:r>
    </w:p>
    <w:p w14:paraId="61B02F43" w14:textId="77777777" w:rsidR="00C73E84" w:rsidRPr="00C73E84" w:rsidRDefault="00C73E84" w:rsidP="00654900">
      <w:pPr>
        <w:rPr>
          <w:rFonts w:eastAsia="Times New Roman"/>
          <w:bCs/>
          <w:lang w:val="en-PH"/>
        </w:rPr>
      </w:pPr>
      <w:r w:rsidRPr="00C73E84">
        <w:rPr>
          <w:rFonts w:eastAsia="Times New Roman"/>
          <w:bCs/>
          <w:lang w:val="en-PH"/>
        </w:rPr>
        <w:t>(Source: </w:t>
      </w:r>
      <w:hyperlink r:id="rId34" w:tgtFrame="_blank" w:history="1">
        <w:r w:rsidRPr="00C73E84">
          <w:rPr>
            <w:rStyle w:val="Hyperlink"/>
            <w:rFonts w:eastAsia="Times New Roman"/>
            <w:bCs/>
            <w:color w:val="FF6E00"/>
            <w:lang w:val="en-PH"/>
          </w:rPr>
          <w:t>https://www.sec.gov/newsroom/press-releases/2025-36</w:t>
        </w:r>
      </w:hyperlink>
      <w:r w:rsidRPr="00C73E84">
        <w:rPr>
          <w:rFonts w:eastAsia="Times New Roman"/>
          <w:bCs/>
          <w:lang w:val="en-PH"/>
        </w:rPr>
        <w:t>)</w:t>
      </w:r>
    </w:p>
    <w:p w14:paraId="7EEEF47B" w14:textId="77777777" w:rsidR="00665A32" w:rsidRDefault="00665A32" w:rsidP="00643EFA">
      <w:pPr>
        <w:jc w:val="both"/>
        <w:rPr>
          <w:rFonts w:eastAsia="Times New Roman"/>
          <w:bCs/>
          <w:lang w:val="en-PH"/>
        </w:rPr>
      </w:pPr>
    </w:p>
    <w:p w14:paraId="24351D98" w14:textId="0742BBCA" w:rsidR="00C73E84" w:rsidRDefault="00C73E84" w:rsidP="00643EFA">
      <w:pPr>
        <w:jc w:val="both"/>
        <w:rPr>
          <w:rFonts w:eastAsia="Times New Roman"/>
          <w:bCs/>
          <w:lang w:val="en-PH"/>
        </w:rPr>
      </w:pPr>
    </w:p>
    <w:p w14:paraId="627D4285" w14:textId="77777777" w:rsidR="00665A32" w:rsidRDefault="00665A32" w:rsidP="00643EFA">
      <w:pPr>
        <w:jc w:val="both"/>
        <w:rPr>
          <w:rFonts w:eastAsia="Times New Roman"/>
          <w:bCs/>
          <w:lang w:val="en-PH"/>
        </w:rPr>
      </w:pPr>
    </w:p>
    <w:p w14:paraId="742C2189" w14:textId="77777777" w:rsidR="00503444" w:rsidRDefault="00503444" w:rsidP="00643EFA">
      <w:pPr>
        <w:jc w:val="both"/>
        <w:rPr>
          <w:rFonts w:eastAsia="Times New Roman"/>
          <w:bCs/>
          <w:lang w:val="en-PH"/>
        </w:rPr>
      </w:pPr>
    </w:p>
    <w:p w14:paraId="2456A078" w14:textId="77777777" w:rsidR="00E9167C" w:rsidRDefault="00E9167C" w:rsidP="00643EFA">
      <w:pPr>
        <w:jc w:val="both"/>
        <w:rPr>
          <w:rFonts w:eastAsia="Times New Roman"/>
          <w:bCs/>
          <w:lang w:val="en-PH"/>
        </w:rPr>
      </w:pPr>
    </w:p>
    <w:p w14:paraId="52926814" w14:textId="77777777" w:rsidR="00503444" w:rsidRPr="00AD3CFC" w:rsidRDefault="00503444" w:rsidP="00643EFA">
      <w:pPr>
        <w:jc w:val="both"/>
        <w:rPr>
          <w:rFonts w:eastAsia="Times New Roman"/>
          <w:bCs/>
          <w:lang w:val="en-PH"/>
        </w:rPr>
      </w:pPr>
    </w:p>
    <w:p w14:paraId="3502109F" w14:textId="77777777" w:rsidR="000608FB" w:rsidRPr="000608FB" w:rsidRDefault="00840613" w:rsidP="00840613">
      <w:pPr>
        <w:pStyle w:val="Disclaimer"/>
        <w:rPr>
          <w:rFonts w:ascii="Arial" w:hAnsi="Arial" w:cs="Arial"/>
          <w:b/>
          <w:bCs/>
          <w:sz w:val="22"/>
          <w:szCs w:val="22"/>
        </w:rPr>
      </w:pPr>
      <w:r w:rsidRPr="000608FB">
        <w:rPr>
          <w:rFonts w:ascii="Arial" w:hAnsi="Arial" w:cs="Arial"/>
          <w:b/>
          <w:bCs/>
          <w:sz w:val="22"/>
          <w:szCs w:val="22"/>
        </w:rPr>
        <w:t>This newsletter is for information purposes only</w:t>
      </w:r>
      <w:r w:rsidR="000608FB" w:rsidRPr="000608FB">
        <w:rPr>
          <w:rFonts w:ascii="Arial" w:hAnsi="Arial" w:cs="Arial"/>
          <w:b/>
          <w:bCs/>
          <w:sz w:val="22"/>
          <w:szCs w:val="22"/>
        </w:rPr>
        <w:t>.</w:t>
      </w:r>
    </w:p>
    <w:p w14:paraId="2B446EEB"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This newsletter and the information contained herein </w:t>
      </w:r>
      <w:proofErr w:type="gramStart"/>
      <w:r w:rsidRPr="00840613">
        <w:rPr>
          <w:rFonts w:ascii="Arial" w:hAnsi="Arial" w:cs="Arial"/>
          <w:sz w:val="22"/>
          <w:szCs w:val="22"/>
        </w:rPr>
        <w:t>is</w:t>
      </w:r>
      <w:proofErr w:type="gramEnd"/>
      <w:r w:rsidRPr="00840613">
        <w:rPr>
          <w:rFonts w:ascii="Arial" w:hAnsi="Arial" w:cs="Arial"/>
          <w:sz w:val="22"/>
          <w:szCs w:val="22"/>
        </w:rPr>
        <w:t xml:space="preserve"> not intended to be a source of advice or credit analysis with respect to the material presented, and the information and/or documents contained in this newsletter do not constitute investment advice.</w:t>
      </w:r>
    </w:p>
    <w:p w14:paraId="7B5FE7F6"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Cryptocurrency markets are highly volatile and speculative in nature. The value of cryptocurrencies can fluctuate greatly within a short period of time. Investing in cryptocurrencies carries significant risks of loss. You should only </w:t>
      </w:r>
      <w:proofErr w:type="gramStart"/>
      <w:r w:rsidRPr="00840613">
        <w:rPr>
          <w:rFonts w:ascii="Arial" w:hAnsi="Arial" w:cs="Arial"/>
          <w:sz w:val="22"/>
          <w:szCs w:val="22"/>
        </w:rPr>
        <w:t>invest</w:t>
      </w:r>
      <w:proofErr w:type="gramEnd"/>
      <w:r w:rsidRPr="00840613">
        <w:rPr>
          <w:rFonts w:ascii="Arial" w:hAnsi="Arial" w:cs="Arial"/>
          <w:sz w:val="22"/>
          <w:szCs w:val="22"/>
        </w:rPr>
        <w:t xml:space="preserve"> what you are prepared to lose.</w:t>
      </w:r>
    </w:p>
    <w:p w14:paraId="2952CA38"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The content on this newsletter is for informational purposes only. You should not construe any such information or other material as legal, tax, investment, financial, or other advice. Nothing contained </w:t>
      </w:r>
      <w:proofErr w:type="gramStart"/>
      <w:r w:rsidRPr="00840613">
        <w:rPr>
          <w:rFonts w:ascii="Arial" w:hAnsi="Arial" w:cs="Arial"/>
          <w:sz w:val="22"/>
          <w:szCs w:val="22"/>
        </w:rPr>
        <w:t>on</w:t>
      </w:r>
      <w:proofErr w:type="gramEnd"/>
      <w:r w:rsidRPr="00840613">
        <w:rPr>
          <w:rFonts w:ascii="Arial" w:hAnsi="Arial" w:cs="Arial"/>
          <w:sz w:val="22"/>
          <w:szCs w:val="22"/>
        </w:rPr>
        <w:t xml:space="preserve"> our newsletter constitutes a solicitation, recommendation, endorsement, or offer to buy or sell any cryptocurrencies, securities, or other financial instruments.</w:t>
      </w:r>
    </w:p>
    <w:p w14:paraId="682497F0" w14:textId="77777777" w:rsidR="000608FB" w:rsidRDefault="00840613" w:rsidP="00840613">
      <w:pPr>
        <w:pStyle w:val="Disclaimer"/>
        <w:rPr>
          <w:rFonts w:ascii="Arial" w:hAnsi="Arial" w:cs="Arial"/>
          <w:sz w:val="22"/>
          <w:szCs w:val="22"/>
        </w:rPr>
      </w:pPr>
      <w:r w:rsidRPr="00840613">
        <w:rPr>
          <w:rFonts w:ascii="Arial" w:hAnsi="Arial" w:cs="Arial"/>
          <w:sz w:val="22"/>
          <w:szCs w:val="22"/>
        </w:rPr>
        <w:t>We do not guarantee or warrant the accuracy, completeness, or usefulness of any information on this site. Any reliance you place on such information is strictly at your own risk. We disclaim all liability and responsibility arising from any reliance placed on such materials by you or any other visitor to this newsletter, or by anyone who may be informed of any of its contents.</w:t>
      </w:r>
    </w:p>
    <w:p w14:paraId="5EE5CAF8"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Your use of this newsletter and your reliance on any information on the site is solely at your own risk. Under no circumstances shall we have any liability to you for any loss or damage of any kind incurred </w:t>
      </w:r>
      <w:proofErr w:type="gramStart"/>
      <w:r w:rsidRPr="00840613">
        <w:rPr>
          <w:rFonts w:ascii="Arial" w:hAnsi="Arial" w:cs="Arial"/>
          <w:sz w:val="22"/>
          <w:szCs w:val="22"/>
        </w:rPr>
        <w:t>as a result of</w:t>
      </w:r>
      <w:proofErr w:type="gramEnd"/>
      <w:r w:rsidRPr="00840613">
        <w:rPr>
          <w:rFonts w:ascii="Arial" w:hAnsi="Arial" w:cs="Arial"/>
          <w:sz w:val="22"/>
          <w:szCs w:val="22"/>
        </w:rPr>
        <w:t xml:space="preserve"> the use of the newsletter or reliance on any information provided on the newsletter.</w:t>
      </w:r>
    </w:p>
    <w:p w14:paraId="30A884CE" w14:textId="77777777" w:rsidR="00B4763A" w:rsidRPr="000608FB" w:rsidRDefault="00B4763A" w:rsidP="00840613">
      <w:pPr>
        <w:pStyle w:val="Disclaimer"/>
        <w:rPr>
          <w:rFonts w:ascii="Arial" w:hAnsi="Arial" w:cs="Arial"/>
          <w:sz w:val="22"/>
          <w:szCs w:val="22"/>
        </w:rPr>
      </w:pPr>
      <w:r w:rsidRPr="00C46FF7">
        <w:rPr>
          <w:rFonts w:ascii="Arial" w:hAnsi="Arial" w:cs="Arial"/>
          <w:sz w:val="22"/>
          <w:szCs w:val="22"/>
          <w:lang w:val="en-GB"/>
        </w:rPr>
        <w:t xml:space="preserve">If you do not wish to receive this newsletter please let us know by emailing us at  </w:t>
      </w:r>
      <w:hyperlink r:id="rId35">
        <w:r w:rsidRPr="00C46FF7">
          <w:rPr>
            <w:rFonts w:ascii="Arial" w:hAnsi="Arial" w:cs="Arial"/>
            <w:sz w:val="22"/>
            <w:szCs w:val="22"/>
            <w:lang w:val="en-GB"/>
          </w:rPr>
          <w:t>unsubscribe@charltonslaw.com</w:t>
        </w:r>
      </w:hyperlink>
    </w:p>
    <w:p w14:paraId="4BFB9E37" w14:textId="79323E9F" w:rsidR="00A57542" w:rsidRPr="002A32F6" w:rsidRDefault="00B4763A" w:rsidP="00BC6331">
      <w:pPr>
        <w:pStyle w:val="BlackStrips"/>
        <w:rPr>
          <w:rFonts w:ascii="Arial" w:hAnsi="Arial" w:cs="Arial"/>
          <w:sz w:val="22"/>
          <w:szCs w:val="22"/>
          <w:lang w:val="en-GB"/>
        </w:rPr>
      </w:pPr>
      <w:bookmarkStart w:id="0" w:name="_Hlk171091278"/>
      <w:r w:rsidRPr="002A32F6">
        <w:rPr>
          <w:rFonts w:ascii="Arial" w:hAnsi="Arial" w:cs="Arial"/>
          <w:sz w:val="22"/>
          <w:szCs w:val="22"/>
          <w:lang w:val="en-GB"/>
        </w:rPr>
        <w:t>Charltons</w:t>
      </w:r>
      <w:r w:rsidR="00840613" w:rsidRPr="002A32F6">
        <w:rPr>
          <w:rFonts w:ascii="Arial" w:hAnsi="Arial" w:cs="Arial"/>
          <w:sz w:val="22"/>
          <w:szCs w:val="22"/>
          <w:lang w:val="en-GB"/>
        </w:rPr>
        <w:t xml:space="preserve"> Quantum</w:t>
      </w:r>
      <w:r w:rsidR="00496C17">
        <w:rPr>
          <w:rFonts w:ascii="Arial" w:hAnsi="Arial" w:cs="Arial"/>
          <w:sz w:val="22"/>
          <w:szCs w:val="22"/>
          <w:lang w:val="en-GB"/>
        </w:rPr>
        <w:t xml:space="preserve"> </w:t>
      </w:r>
      <w:r w:rsidR="00840613" w:rsidRPr="002A32F6">
        <w:rPr>
          <w:rFonts w:ascii="Arial" w:hAnsi="Arial" w:cs="Arial"/>
          <w:sz w:val="22"/>
          <w:szCs w:val="22"/>
          <w:lang w:val="en-GB"/>
        </w:rPr>
        <w:t>–</w:t>
      </w:r>
      <w:r w:rsidR="00496C17">
        <w:rPr>
          <w:rFonts w:ascii="Arial" w:hAnsi="Arial" w:cs="Arial"/>
          <w:sz w:val="22"/>
          <w:szCs w:val="22"/>
          <w:lang w:val="en-GB"/>
        </w:rPr>
        <w:t xml:space="preserve"> </w:t>
      </w:r>
      <w:r w:rsidR="00EA4F77">
        <w:rPr>
          <w:rFonts w:ascii="Arial" w:hAnsi="Arial" w:cs="Arial"/>
          <w:sz w:val="22"/>
          <w:szCs w:val="22"/>
          <w:lang w:val="en-GB"/>
        </w:rPr>
        <w:t>Quantum</w:t>
      </w:r>
      <w:r w:rsidR="00840613" w:rsidRPr="002A32F6">
        <w:rPr>
          <w:rFonts w:ascii="Arial" w:hAnsi="Arial" w:cs="Arial"/>
          <w:sz w:val="22"/>
          <w:szCs w:val="22"/>
          <w:lang w:val="en-GB"/>
        </w:rPr>
        <w:t xml:space="preserve"> Updates</w:t>
      </w:r>
      <w:r w:rsidR="00496C17">
        <w:rPr>
          <w:rFonts w:ascii="Arial" w:hAnsi="Arial" w:cs="Arial"/>
          <w:sz w:val="22"/>
          <w:szCs w:val="22"/>
          <w:lang w:val="en-GB"/>
        </w:rPr>
        <w:t xml:space="preserve"> </w:t>
      </w:r>
      <w:r w:rsidR="00F241F6">
        <w:rPr>
          <w:rFonts w:ascii="Arial" w:hAnsi="Arial" w:cs="Arial"/>
          <w:sz w:val="22"/>
          <w:szCs w:val="22"/>
          <w:lang w:val="en-GB"/>
        </w:rPr>
        <w:t>3</w:t>
      </w:r>
      <w:r w:rsidR="00574108">
        <w:rPr>
          <w:rFonts w:ascii="Arial" w:hAnsi="Arial" w:cs="Arial"/>
          <w:sz w:val="22"/>
          <w:szCs w:val="22"/>
          <w:lang w:val="en-GB"/>
        </w:rPr>
        <w:t>2</w:t>
      </w:r>
      <w:r w:rsidR="00840613" w:rsidRPr="002A32F6">
        <w:rPr>
          <w:rFonts w:ascii="Arial" w:hAnsi="Arial" w:cs="Arial"/>
          <w:sz w:val="22"/>
          <w:szCs w:val="22"/>
          <w:lang w:val="en-GB"/>
        </w:rPr>
        <w:t xml:space="preserve"> </w:t>
      </w:r>
      <w:r w:rsidRPr="002A32F6">
        <w:rPr>
          <w:rFonts w:ascii="Arial" w:hAnsi="Arial" w:cs="Arial"/>
          <w:sz w:val="22"/>
          <w:szCs w:val="22"/>
          <w:lang w:val="en-GB"/>
        </w:rPr>
        <w:t xml:space="preserve">– </w:t>
      </w:r>
      <w:r w:rsidR="00574108">
        <w:rPr>
          <w:rFonts w:ascii="Arial" w:eastAsia="Cambria" w:hAnsi="Arial" w:cs="Arial"/>
          <w:sz w:val="22"/>
          <w:szCs w:val="22"/>
          <w:lang w:val="en-GB"/>
        </w:rPr>
        <w:t>February</w:t>
      </w:r>
      <w:r w:rsidRPr="002A32F6">
        <w:rPr>
          <w:rFonts w:ascii="Arial" w:eastAsia="Cambria" w:hAnsi="Arial" w:cs="Arial"/>
          <w:sz w:val="22"/>
          <w:szCs w:val="22"/>
          <w:lang w:val="en-GB"/>
        </w:rPr>
        <w:t xml:space="preserve"> 202</w:t>
      </w:r>
      <w:bookmarkEnd w:id="0"/>
      <w:r w:rsidR="00271608">
        <w:rPr>
          <w:rFonts w:ascii="Arial" w:eastAsia="Cambria" w:hAnsi="Arial" w:cs="Arial"/>
          <w:sz w:val="22"/>
          <w:szCs w:val="22"/>
          <w:lang w:val="en-GB"/>
        </w:rPr>
        <w:t>5</w:t>
      </w:r>
    </w:p>
    <w:sectPr w:rsidR="00A57542" w:rsidRPr="002A32F6" w:rsidSect="002D1B9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C58"/>
    <w:multiLevelType w:val="multilevel"/>
    <w:tmpl w:val="2E4C69FA"/>
    <w:lvl w:ilvl="0">
      <w:start w:val="1"/>
      <w:numFmt w:val="bullet"/>
      <w:lvlText w:val=""/>
      <w:lvlJc w:val="left"/>
      <w:pPr>
        <w:tabs>
          <w:tab w:val="num" w:pos="9574"/>
        </w:tabs>
        <w:ind w:left="9574" w:hanging="360"/>
      </w:pPr>
      <w:rPr>
        <w:rFonts w:ascii="Symbol" w:hAnsi="Symbol" w:hint="default"/>
        <w:sz w:val="20"/>
      </w:rPr>
    </w:lvl>
    <w:lvl w:ilvl="1">
      <w:start w:val="1"/>
      <w:numFmt w:val="bullet"/>
      <w:lvlText w:val="o"/>
      <w:lvlJc w:val="left"/>
      <w:pPr>
        <w:tabs>
          <w:tab w:val="num" w:pos="10294"/>
        </w:tabs>
        <w:ind w:left="10294" w:hanging="360"/>
      </w:pPr>
      <w:rPr>
        <w:rFonts w:ascii="Courier New" w:hAnsi="Courier New" w:hint="default"/>
        <w:sz w:val="20"/>
      </w:rPr>
    </w:lvl>
    <w:lvl w:ilvl="2" w:tentative="1">
      <w:start w:val="1"/>
      <w:numFmt w:val="bullet"/>
      <w:lvlText w:val=""/>
      <w:lvlJc w:val="left"/>
      <w:pPr>
        <w:tabs>
          <w:tab w:val="num" w:pos="11014"/>
        </w:tabs>
        <w:ind w:left="11014" w:hanging="360"/>
      </w:pPr>
      <w:rPr>
        <w:rFonts w:ascii="Wingdings" w:hAnsi="Wingdings" w:hint="default"/>
        <w:sz w:val="20"/>
      </w:rPr>
    </w:lvl>
    <w:lvl w:ilvl="3" w:tentative="1">
      <w:start w:val="1"/>
      <w:numFmt w:val="bullet"/>
      <w:lvlText w:val=""/>
      <w:lvlJc w:val="left"/>
      <w:pPr>
        <w:tabs>
          <w:tab w:val="num" w:pos="11734"/>
        </w:tabs>
        <w:ind w:left="11734" w:hanging="360"/>
      </w:pPr>
      <w:rPr>
        <w:rFonts w:ascii="Wingdings" w:hAnsi="Wingdings" w:hint="default"/>
        <w:sz w:val="20"/>
      </w:rPr>
    </w:lvl>
    <w:lvl w:ilvl="4" w:tentative="1">
      <w:start w:val="1"/>
      <w:numFmt w:val="bullet"/>
      <w:lvlText w:val=""/>
      <w:lvlJc w:val="left"/>
      <w:pPr>
        <w:tabs>
          <w:tab w:val="num" w:pos="12454"/>
        </w:tabs>
        <w:ind w:left="12454" w:hanging="360"/>
      </w:pPr>
      <w:rPr>
        <w:rFonts w:ascii="Wingdings" w:hAnsi="Wingdings" w:hint="default"/>
        <w:sz w:val="20"/>
      </w:rPr>
    </w:lvl>
    <w:lvl w:ilvl="5" w:tentative="1">
      <w:start w:val="1"/>
      <w:numFmt w:val="bullet"/>
      <w:lvlText w:val=""/>
      <w:lvlJc w:val="left"/>
      <w:pPr>
        <w:tabs>
          <w:tab w:val="num" w:pos="13174"/>
        </w:tabs>
        <w:ind w:left="13174" w:hanging="360"/>
      </w:pPr>
      <w:rPr>
        <w:rFonts w:ascii="Wingdings" w:hAnsi="Wingdings" w:hint="default"/>
        <w:sz w:val="20"/>
      </w:rPr>
    </w:lvl>
    <w:lvl w:ilvl="6" w:tentative="1">
      <w:start w:val="1"/>
      <w:numFmt w:val="bullet"/>
      <w:lvlText w:val=""/>
      <w:lvlJc w:val="left"/>
      <w:pPr>
        <w:tabs>
          <w:tab w:val="num" w:pos="13894"/>
        </w:tabs>
        <w:ind w:left="13894" w:hanging="360"/>
      </w:pPr>
      <w:rPr>
        <w:rFonts w:ascii="Wingdings" w:hAnsi="Wingdings" w:hint="default"/>
        <w:sz w:val="20"/>
      </w:rPr>
    </w:lvl>
    <w:lvl w:ilvl="7" w:tentative="1">
      <w:start w:val="1"/>
      <w:numFmt w:val="bullet"/>
      <w:lvlText w:val=""/>
      <w:lvlJc w:val="left"/>
      <w:pPr>
        <w:tabs>
          <w:tab w:val="num" w:pos="14614"/>
        </w:tabs>
        <w:ind w:left="14614" w:hanging="360"/>
      </w:pPr>
      <w:rPr>
        <w:rFonts w:ascii="Wingdings" w:hAnsi="Wingdings" w:hint="default"/>
        <w:sz w:val="20"/>
      </w:rPr>
    </w:lvl>
    <w:lvl w:ilvl="8" w:tentative="1">
      <w:start w:val="1"/>
      <w:numFmt w:val="bullet"/>
      <w:lvlText w:val=""/>
      <w:lvlJc w:val="left"/>
      <w:pPr>
        <w:tabs>
          <w:tab w:val="num" w:pos="15334"/>
        </w:tabs>
        <w:ind w:left="15334" w:hanging="360"/>
      </w:pPr>
      <w:rPr>
        <w:rFonts w:ascii="Wingdings" w:hAnsi="Wingdings" w:hint="default"/>
        <w:sz w:val="20"/>
      </w:rPr>
    </w:lvl>
  </w:abstractNum>
  <w:abstractNum w:abstractNumId="1" w15:restartNumberingAfterBreak="0">
    <w:nsid w:val="04AA1EEC"/>
    <w:multiLevelType w:val="hybridMultilevel"/>
    <w:tmpl w:val="1424072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0680056D"/>
    <w:multiLevelType w:val="multilevel"/>
    <w:tmpl w:val="AD041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6662DB"/>
    <w:multiLevelType w:val="hybridMultilevel"/>
    <w:tmpl w:val="984076E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097B728A"/>
    <w:multiLevelType w:val="multilevel"/>
    <w:tmpl w:val="990AA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C0101F"/>
    <w:multiLevelType w:val="multilevel"/>
    <w:tmpl w:val="44F82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DA57D1"/>
    <w:multiLevelType w:val="multilevel"/>
    <w:tmpl w:val="58ECD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EF4A16"/>
    <w:multiLevelType w:val="multilevel"/>
    <w:tmpl w:val="F71A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8516A5"/>
    <w:multiLevelType w:val="multilevel"/>
    <w:tmpl w:val="B58E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D15AFE"/>
    <w:multiLevelType w:val="multilevel"/>
    <w:tmpl w:val="057C9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DD1F7D"/>
    <w:multiLevelType w:val="multilevel"/>
    <w:tmpl w:val="4E94F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0E561E"/>
    <w:multiLevelType w:val="multilevel"/>
    <w:tmpl w:val="FB241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B92EDF"/>
    <w:multiLevelType w:val="multilevel"/>
    <w:tmpl w:val="B52ABBA2"/>
    <w:lvl w:ilvl="0">
      <w:start w:val="1"/>
      <w:numFmt w:val="bullet"/>
      <w:lvlText w:val="o"/>
      <w:lvlJc w:val="left"/>
      <w:pPr>
        <w:tabs>
          <w:tab w:val="num" w:pos="644"/>
        </w:tabs>
        <w:ind w:left="644" w:hanging="360"/>
      </w:pPr>
      <w:rPr>
        <w:rFonts w:ascii="Courier New" w:hAnsi="Courier New" w:cs="Courier New" w:hint="default"/>
        <w:sz w:val="20"/>
      </w:r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3" w15:restartNumberingAfterBreak="0">
    <w:nsid w:val="202F530A"/>
    <w:multiLevelType w:val="multilevel"/>
    <w:tmpl w:val="F06E3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F17437"/>
    <w:multiLevelType w:val="hybridMultilevel"/>
    <w:tmpl w:val="4984D30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29A85EC9"/>
    <w:multiLevelType w:val="multilevel"/>
    <w:tmpl w:val="1D9EB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2D4070"/>
    <w:multiLevelType w:val="multilevel"/>
    <w:tmpl w:val="73D89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79770F"/>
    <w:multiLevelType w:val="multilevel"/>
    <w:tmpl w:val="9BA23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8C3376"/>
    <w:multiLevelType w:val="hybridMultilevel"/>
    <w:tmpl w:val="B1B606D6"/>
    <w:lvl w:ilvl="0" w:tplc="B52E33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09D3FF6"/>
    <w:multiLevelType w:val="multilevel"/>
    <w:tmpl w:val="F2346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C243CE"/>
    <w:multiLevelType w:val="multilevel"/>
    <w:tmpl w:val="DAEAD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74025B"/>
    <w:multiLevelType w:val="multilevel"/>
    <w:tmpl w:val="05A85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CC658F"/>
    <w:multiLevelType w:val="multilevel"/>
    <w:tmpl w:val="D8060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5F1CB1"/>
    <w:multiLevelType w:val="multilevel"/>
    <w:tmpl w:val="BA5AC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4F50EC"/>
    <w:multiLevelType w:val="multilevel"/>
    <w:tmpl w:val="50BEE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970934"/>
    <w:multiLevelType w:val="multilevel"/>
    <w:tmpl w:val="7A3E0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9965C0"/>
    <w:multiLevelType w:val="multilevel"/>
    <w:tmpl w:val="80C81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1502C8F"/>
    <w:multiLevelType w:val="hybridMultilevel"/>
    <w:tmpl w:val="5502A318"/>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8" w15:restartNumberingAfterBreak="0">
    <w:nsid w:val="51B00237"/>
    <w:multiLevelType w:val="multilevel"/>
    <w:tmpl w:val="34A27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1738B4"/>
    <w:multiLevelType w:val="multilevel"/>
    <w:tmpl w:val="06CE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5B2431B"/>
    <w:multiLevelType w:val="hybridMultilevel"/>
    <w:tmpl w:val="6D3AB88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1" w15:restartNumberingAfterBreak="0">
    <w:nsid w:val="59682E16"/>
    <w:multiLevelType w:val="multilevel"/>
    <w:tmpl w:val="5A107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F826C7"/>
    <w:multiLevelType w:val="hybridMultilevel"/>
    <w:tmpl w:val="9738D2F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3" w15:restartNumberingAfterBreak="0">
    <w:nsid w:val="62A647E2"/>
    <w:multiLevelType w:val="multilevel"/>
    <w:tmpl w:val="B69AE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D55CAC"/>
    <w:multiLevelType w:val="multilevel"/>
    <w:tmpl w:val="D2F6A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4597D0B"/>
    <w:multiLevelType w:val="multilevel"/>
    <w:tmpl w:val="9BE2D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51054D5"/>
    <w:multiLevelType w:val="multilevel"/>
    <w:tmpl w:val="68DAD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E07158"/>
    <w:multiLevelType w:val="multilevel"/>
    <w:tmpl w:val="3324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20B4E6C"/>
    <w:multiLevelType w:val="multilevel"/>
    <w:tmpl w:val="97841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29A4413"/>
    <w:multiLevelType w:val="hybridMultilevel"/>
    <w:tmpl w:val="84AC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7F00D8"/>
    <w:multiLevelType w:val="hybridMultilevel"/>
    <w:tmpl w:val="39B8AA9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1" w15:restartNumberingAfterBreak="0">
    <w:nsid w:val="75B43969"/>
    <w:multiLevelType w:val="multilevel"/>
    <w:tmpl w:val="637E6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69F0417"/>
    <w:multiLevelType w:val="multilevel"/>
    <w:tmpl w:val="4110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6F153AF"/>
    <w:multiLevelType w:val="multilevel"/>
    <w:tmpl w:val="5102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CF64B22"/>
    <w:multiLevelType w:val="multilevel"/>
    <w:tmpl w:val="23BC6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F955BF8"/>
    <w:multiLevelType w:val="multilevel"/>
    <w:tmpl w:val="0C568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9D1097"/>
    <w:multiLevelType w:val="multilevel"/>
    <w:tmpl w:val="2EAE3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76956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4667993">
    <w:abstractNumId w:val="39"/>
  </w:num>
  <w:num w:numId="3" w16cid:durableId="2074813254">
    <w:abstractNumId w:val="12"/>
  </w:num>
  <w:num w:numId="4" w16cid:durableId="1502967021">
    <w:abstractNumId w:val="0"/>
  </w:num>
  <w:num w:numId="5" w16cid:durableId="942999798">
    <w:abstractNumId w:val="45"/>
  </w:num>
  <w:num w:numId="6" w16cid:durableId="1575898805">
    <w:abstractNumId w:val="28"/>
  </w:num>
  <w:num w:numId="7" w16cid:durableId="1378318754">
    <w:abstractNumId w:val="31"/>
  </w:num>
  <w:num w:numId="8" w16cid:durableId="580287903">
    <w:abstractNumId w:val="23"/>
  </w:num>
  <w:num w:numId="9" w16cid:durableId="1550872740">
    <w:abstractNumId w:val="36"/>
  </w:num>
  <w:num w:numId="10" w16cid:durableId="1971083369">
    <w:abstractNumId w:val="3"/>
  </w:num>
  <w:num w:numId="11" w16cid:durableId="1221399460">
    <w:abstractNumId w:val="40"/>
  </w:num>
  <w:num w:numId="12" w16cid:durableId="1130344">
    <w:abstractNumId w:val="7"/>
  </w:num>
  <w:num w:numId="13" w16cid:durableId="724571868">
    <w:abstractNumId w:val="1"/>
  </w:num>
  <w:num w:numId="14" w16cid:durableId="273438372">
    <w:abstractNumId w:val="33"/>
    <w:lvlOverride w:ilvl="0">
      <w:lvl w:ilvl="0">
        <w:numFmt w:val="lowerRoman"/>
        <w:lvlText w:val="%1."/>
        <w:lvlJc w:val="right"/>
      </w:lvl>
    </w:lvlOverride>
  </w:num>
  <w:num w:numId="15" w16cid:durableId="1735548128">
    <w:abstractNumId w:val="33"/>
    <w:lvlOverride w:ilvl="0">
      <w:lvl w:ilvl="0">
        <w:numFmt w:val="lowerRoman"/>
        <w:lvlText w:val="%1."/>
        <w:lvlJc w:val="right"/>
      </w:lvl>
    </w:lvlOverride>
  </w:num>
  <w:num w:numId="16" w16cid:durableId="1888104222">
    <w:abstractNumId w:val="33"/>
    <w:lvlOverride w:ilvl="0">
      <w:lvl w:ilvl="0">
        <w:numFmt w:val="lowerRoman"/>
        <w:lvlText w:val="%1."/>
        <w:lvlJc w:val="right"/>
      </w:lvl>
    </w:lvlOverride>
  </w:num>
  <w:num w:numId="17" w16cid:durableId="1586258705">
    <w:abstractNumId w:val="33"/>
    <w:lvlOverride w:ilvl="0">
      <w:lvl w:ilvl="0">
        <w:numFmt w:val="lowerRoman"/>
        <w:lvlText w:val="%1."/>
        <w:lvlJc w:val="right"/>
      </w:lvl>
    </w:lvlOverride>
  </w:num>
  <w:num w:numId="18" w16cid:durableId="1661732417">
    <w:abstractNumId w:val="27"/>
  </w:num>
  <w:num w:numId="19" w16cid:durableId="511378157">
    <w:abstractNumId w:val="9"/>
  </w:num>
  <w:num w:numId="20" w16cid:durableId="121969876">
    <w:abstractNumId w:val="4"/>
  </w:num>
  <w:num w:numId="21" w16cid:durableId="1684628695">
    <w:abstractNumId w:val="35"/>
  </w:num>
  <w:num w:numId="22" w16cid:durableId="1107626459">
    <w:abstractNumId w:val="30"/>
  </w:num>
  <w:num w:numId="23" w16cid:durableId="118770229">
    <w:abstractNumId w:val="46"/>
  </w:num>
  <w:num w:numId="24" w16cid:durableId="177693014">
    <w:abstractNumId w:val="32"/>
  </w:num>
  <w:num w:numId="25" w16cid:durableId="580061562">
    <w:abstractNumId w:val="16"/>
  </w:num>
  <w:num w:numId="26" w16cid:durableId="1366559567">
    <w:abstractNumId w:val="14"/>
  </w:num>
  <w:num w:numId="27" w16cid:durableId="288439127">
    <w:abstractNumId w:val="17"/>
  </w:num>
  <w:num w:numId="28" w16cid:durableId="486632546">
    <w:abstractNumId w:val="10"/>
  </w:num>
  <w:num w:numId="29" w16cid:durableId="331033149">
    <w:abstractNumId w:val="5"/>
  </w:num>
  <w:num w:numId="30" w16cid:durableId="156650898">
    <w:abstractNumId w:val="38"/>
  </w:num>
  <w:num w:numId="31" w16cid:durableId="1188131849">
    <w:abstractNumId w:val="20"/>
  </w:num>
  <w:num w:numId="32" w16cid:durableId="1085417770">
    <w:abstractNumId w:val="29"/>
  </w:num>
  <w:num w:numId="33" w16cid:durableId="1683126352">
    <w:abstractNumId w:val="37"/>
  </w:num>
  <w:num w:numId="34" w16cid:durableId="71051670">
    <w:abstractNumId w:val="8"/>
  </w:num>
  <w:num w:numId="35" w16cid:durableId="385373748">
    <w:abstractNumId w:val="26"/>
  </w:num>
  <w:num w:numId="36" w16cid:durableId="56053006">
    <w:abstractNumId w:val="42"/>
  </w:num>
  <w:num w:numId="37" w16cid:durableId="1519923209">
    <w:abstractNumId w:val="43"/>
  </w:num>
  <w:num w:numId="38" w16cid:durableId="2138062333">
    <w:abstractNumId w:val="25"/>
  </w:num>
  <w:num w:numId="39" w16cid:durableId="407267627">
    <w:abstractNumId w:val="11"/>
  </w:num>
  <w:num w:numId="40" w16cid:durableId="829977268">
    <w:abstractNumId w:val="13"/>
  </w:num>
  <w:num w:numId="41" w16cid:durableId="1835872112">
    <w:abstractNumId w:val="6"/>
  </w:num>
  <w:num w:numId="42" w16cid:durableId="477842735">
    <w:abstractNumId w:val="19"/>
  </w:num>
  <w:num w:numId="43" w16cid:durableId="2017268441">
    <w:abstractNumId w:val="21"/>
  </w:num>
  <w:num w:numId="44" w16cid:durableId="2042123397">
    <w:abstractNumId w:val="24"/>
  </w:num>
  <w:num w:numId="45" w16cid:durableId="1408189321">
    <w:abstractNumId w:val="15"/>
  </w:num>
  <w:num w:numId="46" w16cid:durableId="742795116">
    <w:abstractNumId w:val="44"/>
  </w:num>
  <w:num w:numId="47" w16cid:durableId="1805199098">
    <w:abstractNumId w:val="34"/>
  </w:num>
  <w:num w:numId="48" w16cid:durableId="1170560367">
    <w:abstractNumId w:val="41"/>
  </w:num>
  <w:num w:numId="49" w16cid:durableId="1649163571">
    <w:abstractNumId w:val="22"/>
  </w:num>
  <w:num w:numId="50" w16cid:durableId="1289624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B42"/>
    <w:rsid w:val="00000121"/>
    <w:rsid w:val="000037AF"/>
    <w:rsid w:val="00004159"/>
    <w:rsid w:val="00004353"/>
    <w:rsid w:val="00004DDE"/>
    <w:rsid w:val="00010A36"/>
    <w:rsid w:val="00011D2F"/>
    <w:rsid w:val="00014692"/>
    <w:rsid w:val="00016D29"/>
    <w:rsid w:val="000205CC"/>
    <w:rsid w:val="000221A7"/>
    <w:rsid w:val="00023129"/>
    <w:rsid w:val="000243D9"/>
    <w:rsid w:val="000245FF"/>
    <w:rsid w:val="000252D0"/>
    <w:rsid w:val="000318E6"/>
    <w:rsid w:val="0003348A"/>
    <w:rsid w:val="00034A74"/>
    <w:rsid w:val="00034B85"/>
    <w:rsid w:val="00035967"/>
    <w:rsid w:val="000404A8"/>
    <w:rsid w:val="000450EC"/>
    <w:rsid w:val="00050C83"/>
    <w:rsid w:val="00055654"/>
    <w:rsid w:val="000608FB"/>
    <w:rsid w:val="00060904"/>
    <w:rsid w:val="00060C8D"/>
    <w:rsid w:val="0006256F"/>
    <w:rsid w:val="00062599"/>
    <w:rsid w:val="00063802"/>
    <w:rsid w:val="000721F8"/>
    <w:rsid w:val="00072A04"/>
    <w:rsid w:val="00073F4D"/>
    <w:rsid w:val="00082886"/>
    <w:rsid w:val="00082E37"/>
    <w:rsid w:val="00083F90"/>
    <w:rsid w:val="000872BC"/>
    <w:rsid w:val="00091FCF"/>
    <w:rsid w:val="00092D28"/>
    <w:rsid w:val="00097902"/>
    <w:rsid w:val="000A089B"/>
    <w:rsid w:val="000A284A"/>
    <w:rsid w:val="000A40AA"/>
    <w:rsid w:val="000A541C"/>
    <w:rsid w:val="000A6ABC"/>
    <w:rsid w:val="000B2FAD"/>
    <w:rsid w:val="000B3A31"/>
    <w:rsid w:val="000B3FB2"/>
    <w:rsid w:val="000B4209"/>
    <w:rsid w:val="000B60E8"/>
    <w:rsid w:val="000C309D"/>
    <w:rsid w:val="000C40DC"/>
    <w:rsid w:val="000C478D"/>
    <w:rsid w:val="000D4A49"/>
    <w:rsid w:val="000D561C"/>
    <w:rsid w:val="000E2273"/>
    <w:rsid w:val="000E494A"/>
    <w:rsid w:val="000E568E"/>
    <w:rsid w:val="000E7DAA"/>
    <w:rsid w:val="000F2253"/>
    <w:rsid w:val="000F435A"/>
    <w:rsid w:val="000F45F9"/>
    <w:rsid w:val="000F6230"/>
    <w:rsid w:val="000F7A59"/>
    <w:rsid w:val="00101D42"/>
    <w:rsid w:val="00103C38"/>
    <w:rsid w:val="00104145"/>
    <w:rsid w:val="0011342C"/>
    <w:rsid w:val="001148B5"/>
    <w:rsid w:val="001160B1"/>
    <w:rsid w:val="001170F1"/>
    <w:rsid w:val="00117E40"/>
    <w:rsid w:val="00124B84"/>
    <w:rsid w:val="00130ECC"/>
    <w:rsid w:val="00132E57"/>
    <w:rsid w:val="00132F7F"/>
    <w:rsid w:val="00132F89"/>
    <w:rsid w:val="00141D4A"/>
    <w:rsid w:val="00142600"/>
    <w:rsid w:val="00143AC9"/>
    <w:rsid w:val="00144233"/>
    <w:rsid w:val="00151E19"/>
    <w:rsid w:val="0015318A"/>
    <w:rsid w:val="001537E2"/>
    <w:rsid w:val="00156B48"/>
    <w:rsid w:val="00163B8D"/>
    <w:rsid w:val="00164197"/>
    <w:rsid w:val="001648C1"/>
    <w:rsid w:val="00166B91"/>
    <w:rsid w:val="001677A7"/>
    <w:rsid w:val="00174299"/>
    <w:rsid w:val="001754E8"/>
    <w:rsid w:val="0017603A"/>
    <w:rsid w:val="00176578"/>
    <w:rsid w:val="00176FE0"/>
    <w:rsid w:val="00183CF7"/>
    <w:rsid w:val="001840A3"/>
    <w:rsid w:val="00185A3C"/>
    <w:rsid w:val="001919D6"/>
    <w:rsid w:val="00192502"/>
    <w:rsid w:val="00193F55"/>
    <w:rsid w:val="0019610D"/>
    <w:rsid w:val="001A510E"/>
    <w:rsid w:val="001A5268"/>
    <w:rsid w:val="001A5B86"/>
    <w:rsid w:val="001A7174"/>
    <w:rsid w:val="001A7B17"/>
    <w:rsid w:val="001B19A8"/>
    <w:rsid w:val="001B2B56"/>
    <w:rsid w:val="001B3584"/>
    <w:rsid w:val="001B7EA8"/>
    <w:rsid w:val="001C33E2"/>
    <w:rsid w:val="001C43BA"/>
    <w:rsid w:val="001D1F61"/>
    <w:rsid w:val="001D2EED"/>
    <w:rsid w:val="001D759C"/>
    <w:rsid w:val="001E0B8C"/>
    <w:rsid w:val="001F05C7"/>
    <w:rsid w:val="001F734C"/>
    <w:rsid w:val="001F7BAD"/>
    <w:rsid w:val="0020028D"/>
    <w:rsid w:val="00201D41"/>
    <w:rsid w:val="00203814"/>
    <w:rsid w:val="00205B49"/>
    <w:rsid w:val="00210A6E"/>
    <w:rsid w:val="00212FC9"/>
    <w:rsid w:val="00213254"/>
    <w:rsid w:val="0022163F"/>
    <w:rsid w:val="002217D5"/>
    <w:rsid w:val="00225D41"/>
    <w:rsid w:val="002264E9"/>
    <w:rsid w:val="00226B22"/>
    <w:rsid w:val="00227430"/>
    <w:rsid w:val="00227D03"/>
    <w:rsid w:val="00230938"/>
    <w:rsid w:val="0023117C"/>
    <w:rsid w:val="002317DA"/>
    <w:rsid w:val="00231F6E"/>
    <w:rsid w:val="00231FB8"/>
    <w:rsid w:val="0023336C"/>
    <w:rsid w:val="0023645A"/>
    <w:rsid w:val="002368BA"/>
    <w:rsid w:val="00236CA3"/>
    <w:rsid w:val="002453D7"/>
    <w:rsid w:val="002533D5"/>
    <w:rsid w:val="00253A5F"/>
    <w:rsid w:val="00256D56"/>
    <w:rsid w:val="00270D0A"/>
    <w:rsid w:val="00271608"/>
    <w:rsid w:val="0027430D"/>
    <w:rsid w:val="0028154B"/>
    <w:rsid w:val="00282B8B"/>
    <w:rsid w:val="0028622F"/>
    <w:rsid w:val="002867DE"/>
    <w:rsid w:val="00290435"/>
    <w:rsid w:val="002914A1"/>
    <w:rsid w:val="00296AD5"/>
    <w:rsid w:val="002A2D50"/>
    <w:rsid w:val="002A32F6"/>
    <w:rsid w:val="002B2067"/>
    <w:rsid w:val="002B217F"/>
    <w:rsid w:val="002B40A4"/>
    <w:rsid w:val="002B7185"/>
    <w:rsid w:val="002B7807"/>
    <w:rsid w:val="002B785F"/>
    <w:rsid w:val="002B7E71"/>
    <w:rsid w:val="002C0FEA"/>
    <w:rsid w:val="002C1EEE"/>
    <w:rsid w:val="002C405A"/>
    <w:rsid w:val="002C4225"/>
    <w:rsid w:val="002D1B99"/>
    <w:rsid w:val="002D2765"/>
    <w:rsid w:val="002D333A"/>
    <w:rsid w:val="002D5B01"/>
    <w:rsid w:val="002E1A3C"/>
    <w:rsid w:val="002E7A20"/>
    <w:rsid w:val="002F07B3"/>
    <w:rsid w:val="002F341C"/>
    <w:rsid w:val="003011AF"/>
    <w:rsid w:val="00302E27"/>
    <w:rsid w:val="00306D8B"/>
    <w:rsid w:val="0030750F"/>
    <w:rsid w:val="00310191"/>
    <w:rsid w:val="00311298"/>
    <w:rsid w:val="003117E7"/>
    <w:rsid w:val="0031285F"/>
    <w:rsid w:val="003147D3"/>
    <w:rsid w:val="00315BDB"/>
    <w:rsid w:val="00320589"/>
    <w:rsid w:val="00320830"/>
    <w:rsid w:val="00323616"/>
    <w:rsid w:val="0032574F"/>
    <w:rsid w:val="00326775"/>
    <w:rsid w:val="00330B43"/>
    <w:rsid w:val="00334A4B"/>
    <w:rsid w:val="00335AAA"/>
    <w:rsid w:val="00341CE8"/>
    <w:rsid w:val="00345C17"/>
    <w:rsid w:val="00345CE5"/>
    <w:rsid w:val="0034749E"/>
    <w:rsid w:val="00350648"/>
    <w:rsid w:val="00352D36"/>
    <w:rsid w:val="00353DF2"/>
    <w:rsid w:val="003544A2"/>
    <w:rsid w:val="00361C38"/>
    <w:rsid w:val="0037118C"/>
    <w:rsid w:val="00371761"/>
    <w:rsid w:val="003722E2"/>
    <w:rsid w:val="00372AAA"/>
    <w:rsid w:val="00372AF8"/>
    <w:rsid w:val="00373A7A"/>
    <w:rsid w:val="00374E68"/>
    <w:rsid w:val="00382C5D"/>
    <w:rsid w:val="00382F0D"/>
    <w:rsid w:val="0038619E"/>
    <w:rsid w:val="0038748F"/>
    <w:rsid w:val="00395C76"/>
    <w:rsid w:val="003975E2"/>
    <w:rsid w:val="003A3351"/>
    <w:rsid w:val="003A6BC6"/>
    <w:rsid w:val="003B05D8"/>
    <w:rsid w:val="003B361E"/>
    <w:rsid w:val="003B37EB"/>
    <w:rsid w:val="003B403A"/>
    <w:rsid w:val="003C073B"/>
    <w:rsid w:val="003C2113"/>
    <w:rsid w:val="003C28EF"/>
    <w:rsid w:val="003C657E"/>
    <w:rsid w:val="003C69BB"/>
    <w:rsid w:val="003C72FA"/>
    <w:rsid w:val="003C752D"/>
    <w:rsid w:val="003D1B86"/>
    <w:rsid w:val="003D4509"/>
    <w:rsid w:val="003D4A38"/>
    <w:rsid w:val="003D6978"/>
    <w:rsid w:val="003E143E"/>
    <w:rsid w:val="003E171D"/>
    <w:rsid w:val="003E3904"/>
    <w:rsid w:val="003E435C"/>
    <w:rsid w:val="003E4E5F"/>
    <w:rsid w:val="003E5B64"/>
    <w:rsid w:val="003E6057"/>
    <w:rsid w:val="003F1315"/>
    <w:rsid w:val="003F1DD6"/>
    <w:rsid w:val="003F406B"/>
    <w:rsid w:val="003F7838"/>
    <w:rsid w:val="00400A92"/>
    <w:rsid w:val="00407E79"/>
    <w:rsid w:val="00410EAB"/>
    <w:rsid w:val="00411C90"/>
    <w:rsid w:val="004122E6"/>
    <w:rsid w:val="0041236D"/>
    <w:rsid w:val="00414610"/>
    <w:rsid w:val="00415A64"/>
    <w:rsid w:val="00416748"/>
    <w:rsid w:val="00416834"/>
    <w:rsid w:val="0041734A"/>
    <w:rsid w:val="0041769C"/>
    <w:rsid w:val="00417D62"/>
    <w:rsid w:val="00417EA6"/>
    <w:rsid w:val="0042063D"/>
    <w:rsid w:val="00422A66"/>
    <w:rsid w:val="00422D91"/>
    <w:rsid w:val="004246D7"/>
    <w:rsid w:val="00426E64"/>
    <w:rsid w:val="00431670"/>
    <w:rsid w:val="0043401D"/>
    <w:rsid w:val="00440235"/>
    <w:rsid w:val="004405A2"/>
    <w:rsid w:val="004438A0"/>
    <w:rsid w:val="00443A1E"/>
    <w:rsid w:val="00444DFC"/>
    <w:rsid w:val="004504E2"/>
    <w:rsid w:val="00454BBF"/>
    <w:rsid w:val="004572B8"/>
    <w:rsid w:val="0046039B"/>
    <w:rsid w:val="0046163B"/>
    <w:rsid w:val="00462F3E"/>
    <w:rsid w:val="00465552"/>
    <w:rsid w:val="0046627E"/>
    <w:rsid w:val="00470871"/>
    <w:rsid w:val="00470D54"/>
    <w:rsid w:val="00471EF8"/>
    <w:rsid w:val="00472670"/>
    <w:rsid w:val="00475905"/>
    <w:rsid w:val="0048023C"/>
    <w:rsid w:val="00481ECD"/>
    <w:rsid w:val="00483DC8"/>
    <w:rsid w:val="0048480D"/>
    <w:rsid w:val="004924EF"/>
    <w:rsid w:val="00495BED"/>
    <w:rsid w:val="00496C17"/>
    <w:rsid w:val="00497863"/>
    <w:rsid w:val="004A3F4B"/>
    <w:rsid w:val="004B0F4E"/>
    <w:rsid w:val="004B314B"/>
    <w:rsid w:val="004B3DBB"/>
    <w:rsid w:val="004B47A5"/>
    <w:rsid w:val="004B5FED"/>
    <w:rsid w:val="004B6C70"/>
    <w:rsid w:val="004C4B5A"/>
    <w:rsid w:val="004D07A5"/>
    <w:rsid w:val="004D4E1B"/>
    <w:rsid w:val="004E2234"/>
    <w:rsid w:val="004E2290"/>
    <w:rsid w:val="004E3EB7"/>
    <w:rsid w:val="004E5C99"/>
    <w:rsid w:val="004E74DA"/>
    <w:rsid w:val="004E7B8C"/>
    <w:rsid w:val="004F56B3"/>
    <w:rsid w:val="00500E0C"/>
    <w:rsid w:val="00501064"/>
    <w:rsid w:val="00501590"/>
    <w:rsid w:val="00503444"/>
    <w:rsid w:val="00515249"/>
    <w:rsid w:val="00515888"/>
    <w:rsid w:val="00517014"/>
    <w:rsid w:val="005219C4"/>
    <w:rsid w:val="00523D35"/>
    <w:rsid w:val="00533B25"/>
    <w:rsid w:val="00533C38"/>
    <w:rsid w:val="0053467A"/>
    <w:rsid w:val="00534B22"/>
    <w:rsid w:val="00534D91"/>
    <w:rsid w:val="005357B2"/>
    <w:rsid w:val="00536138"/>
    <w:rsid w:val="0053654D"/>
    <w:rsid w:val="00536632"/>
    <w:rsid w:val="00542AC9"/>
    <w:rsid w:val="00544182"/>
    <w:rsid w:val="00545BDD"/>
    <w:rsid w:val="00550422"/>
    <w:rsid w:val="00552306"/>
    <w:rsid w:val="00552AAE"/>
    <w:rsid w:val="00553970"/>
    <w:rsid w:val="00554665"/>
    <w:rsid w:val="005610CE"/>
    <w:rsid w:val="00563E48"/>
    <w:rsid w:val="00566697"/>
    <w:rsid w:val="00566E89"/>
    <w:rsid w:val="00567CFD"/>
    <w:rsid w:val="00571B18"/>
    <w:rsid w:val="00574108"/>
    <w:rsid w:val="005767A3"/>
    <w:rsid w:val="0058673C"/>
    <w:rsid w:val="00590C3B"/>
    <w:rsid w:val="00596531"/>
    <w:rsid w:val="00596683"/>
    <w:rsid w:val="00597D23"/>
    <w:rsid w:val="005A1AFE"/>
    <w:rsid w:val="005A20B6"/>
    <w:rsid w:val="005A2560"/>
    <w:rsid w:val="005A526C"/>
    <w:rsid w:val="005B01E8"/>
    <w:rsid w:val="005B0584"/>
    <w:rsid w:val="005B20C5"/>
    <w:rsid w:val="005B4E83"/>
    <w:rsid w:val="005C0830"/>
    <w:rsid w:val="005C305E"/>
    <w:rsid w:val="005C4CAB"/>
    <w:rsid w:val="005C6088"/>
    <w:rsid w:val="005C7CD4"/>
    <w:rsid w:val="005D3A14"/>
    <w:rsid w:val="005D5895"/>
    <w:rsid w:val="005E09D5"/>
    <w:rsid w:val="005E0DFB"/>
    <w:rsid w:val="005E1CF2"/>
    <w:rsid w:val="005E2BD5"/>
    <w:rsid w:val="005E6899"/>
    <w:rsid w:val="005E6D3E"/>
    <w:rsid w:val="005E7C51"/>
    <w:rsid w:val="005E7EA3"/>
    <w:rsid w:val="005E7EB8"/>
    <w:rsid w:val="005F2548"/>
    <w:rsid w:val="005F59F2"/>
    <w:rsid w:val="005F7B80"/>
    <w:rsid w:val="005F7BA8"/>
    <w:rsid w:val="0060051A"/>
    <w:rsid w:val="00602D10"/>
    <w:rsid w:val="006138EE"/>
    <w:rsid w:val="00615365"/>
    <w:rsid w:val="00615AAB"/>
    <w:rsid w:val="00617649"/>
    <w:rsid w:val="00617E88"/>
    <w:rsid w:val="00620742"/>
    <w:rsid w:val="00622603"/>
    <w:rsid w:val="0062328A"/>
    <w:rsid w:val="00624084"/>
    <w:rsid w:val="006251E2"/>
    <w:rsid w:val="00626712"/>
    <w:rsid w:val="006268BF"/>
    <w:rsid w:val="006335B8"/>
    <w:rsid w:val="00643EFA"/>
    <w:rsid w:val="006449FF"/>
    <w:rsid w:val="00651062"/>
    <w:rsid w:val="00654900"/>
    <w:rsid w:val="00654FDF"/>
    <w:rsid w:val="006558BA"/>
    <w:rsid w:val="00661EE8"/>
    <w:rsid w:val="006626DD"/>
    <w:rsid w:val="00663C92"/>
    <w:rsid w:val="00665A32"/>
    <w:rsid w:val="00665B23"/>
    <w:rsid w:val="00665E8D"/>
    <w:rsid w:val="00667A59"/>
    <w:rsid w:val="00671565"/>
    <w:rsid w:val="00671AC9"/>
    <w:rsid w:val="00672951"/>
    <w:rsid w:val="00674EFD"/>
    <w:rsid w:val="006751D0"/>
    <w:rsid w:val="0067664F"/>
    <w:rsid w:val="00677DDF"/>
    <w:rsid w:val="0068083B"/>
    <w:rsid w:val="00680D15"/>
    <w:rsid w:val="0068511F"/>
    <w:rsid w:val="00685D1A"/>
    <w:rsid w:val="006874F7"/>
    <w:rsid w:val="0069188A"/>
    <w:rsid w:val="00692759"/>
    <w:rsid w:val="00692F85"/>
    <w:rsid w:val="0069525B"/>
    <w:rsid w:val="00697EAE"/>
    <w:rsid w:val="006A45BA"/>
    <w:rsid w:val="006A7BB6"/>
    <w:rsid w:val="006B10B2"/>
    <w:rsid w:val="006B14E6"/>
    <w:rsid w:val="006B502D"/>
    <w:rsid w:val="006B565C"/>
    <w:rsid w:val="006B5A8C"/>
    <w:rsid w:val="006C0CAD"/>
    <w:rsid w:val="006D01BA"/>
    <w:rsid w:val="006D21CE"/>
    <w:rsid w:val="006D3933"/>
    <w:rsid w:val="006D3BF8"/>
    <w:rsid w:val="006D3E34"/>
    <w:rsid w:val="006D45D7"/>
    <w:rsid w:val="006D4C8B"/>
    <w:rsid w:val="006D5B2D"/>
    <w:rsid w:val="006D5EE2"/>
    <w:rsid w:val="006E3069"/>
    <w:rsid w:val="006F0CFA"/>
    <w:rsid w:val="006F1F09"/>
    <w:rsid w:val="006F32D4"/>
    <w:rsid w:val="006F63DF"/>
    <w:rsid w:val="006F651E"/>
    <w:rsid w:val="006F764A"/>
    <w:rsid w:val="006F77AF"/>
    <w:rsid w:val="006F7B8A"/>
    <w:rsid w:val="00701449"/>
    <w:rsid w:val="00702E8C"/>
    <w:rsid w:val="007037B2"/>
    <w:rsid w:val="00704CA9"/>
    <w:rsid w:val="00704E39"/>
    <w:rsid w:val="00704ED6"/>
    <w:rsid w:val="00710CC1"/>
    <w:rsid w:val="00711EC0"/>
    <w:rsid w:val="00713629"/>
    <w:rsid w:val="007157D9"/>
    <w:rsid w:val="00723348"/>
    <w:rsid w:val="00730BF8"/>
    <w:rsid w:val="00730C89"/>
    <w:rsid w:val="00732246"/>
    <w:rsid w:val="00733D25"/>
    <w:rsid w:val="00734CB4"/>
    <w:rsid w:val="00737AD6"/>
    <w:rsid w:val="0074143E"/>
    <w:rsid w:val="00742C26"/>
    <w:rsid w:val="007458E4"/>
    <w:rsid w:val="007506FC"/>
    <w:rsid w:val="00753C81"/>
    <w:rsid w:val="00755552"/>
    <w:rsid w:val="007623D6"/>
    <w:rsid w:val="00762C57"/>
    <w:rsid w:val="007641F6"/>
    <w:rsid w:val="007645BD"/>
    <w:rsid w:val="00764A70"/>
    <w:rsid w:val="0076729A"/>
    <w:rsid w:val="00767321"/>
    <w:rsid w:val="007712F5"/>
    <w:rsid w:val="00771BAF"/>
    <w:rsid w:val="0077224D"/>
    <w:rsid w:val="00774A9B"/>
    <w:rsid w:val="00776AB0"/>
    <w:rsid w:val="0077785B"/>
    <w:rsid w:val="00782197"/>
    <w:rsid w:val="00785202"/>
    <w:rsid w:val="00785CF1"/>
    <w:rsid w:val="0078767B"/>
    <w:rsid w:val="00791F6E"/>
    <w:rsid w:val="00792443"/>
    <w:rsid w:val="0079385F"/>
    <w:rsid w:val="00795BA9"/>
    <w:rsid w:val="007A1D4C"/>
    <w:rsid w:val="007A2031"/>
    <w:rsid w:val="007A28B8"/>
    <w:rsid w:val="007A36FF"/>
    <w:rsid w:val="007A4932"/>
    <w:rsid w:val="007A72CC"/>
    <w:rsid w:val="007B3CC5"/>
    <w:rsid w:val="007C056A"/>
    <w:rsid w:val="007C2063"/>
    <w:rsid w:val="007C2569"/>
    <w:rsid w:val="007C546D"/>
    <w:rsid w:val="007C7190"/>
    <w:rsid w:val="007C7D68"/>
    <w:rsid w:val="007D0BCA"/>
    <w:rsid w:val="007E026A"/>
    <w:rsid w:val="007E18E2"/>
    <w:rsid w:val="007F0E26"/>
    <w:rsid w:val="007F1113"/>
    <w:rsid w:val="007F3BEB"/>
    <w:rsid w:val="007F4DCB"/>
    <w:rsid w:val="00802888"/>
    <w:rsid w:val="00803F80"/>
    <w:rsid w:val="008044B5"/>
    <w:rsid w:val="00804B50"/>
    <w:rsid w:val="008104A5"/>
    <w:rsid w:val="00814543"/>
    <w:rsid w:val="008166FA"/>
    <w:rsid w:val="00816BC7"/>
    <w:rsid w:val="00820436"/>
    <w:rsid w:val="00821C1E"/>
    <w:rsid w:val="00823F0C"/>
    <w:rsid w:val="0082435B"/>
    <w:rsid w:val="008302DB"/>
    <w:rsid w:val="008353B3"/>
    <w:rsid w:val="008377F5"/>
    <w:rsid w:val="00837FEE"/>
    <w:rsid w:val="00840613"/>
    <w:rsid w:val="00840D90"/>
    <w:rsid w:val="00842845"/>
    <w:rsid w:val="008522F9"/>
    <w:rsid w:val="0085297C"/>
    <w:rsid w:val="00853E22"/>
    <w:rsid w:val="008542B4"/>
    <w:rsid w:val="00855526"/>
    <w:rsid w:val="008577C6"/>
    <w:rsid w:val="00861FB0"/>
    <w:rsid w:val="0086386C"/>
    <w:rsid w:val="00864C74"/>
    <w:rsid w:val="0087285A"/>
    <w:rsid w:val="0087762B"/>
    <w:rsid w:val="0088382A"/>
    <w:rsid w:val="008854E2"/>
    <w:rsid w:val="00886C42"/>
    <w:rsid w:val="00887381"/>
    <w:rsid w:val="0089006C"/>
    <w:rsid w:val="00890312"/>
    <w:rsid w:val="00891AEE"/>
    <w:rsid w:val="0089240F"/>
    <w:rsid w:val="00892DCD"/>
    <w:rsid w:val="0089527A"/>
    <w:rsid w:val="00895346"/>
    <w:rsid w:val="00896E65"/>
    <w:rsid w:val="00897C14"/>
    <w:rsid w:val="008A0C9B"/>
    <w:rsid w:val="008A0E6B"/>
    <w:rsid w:val="008A107D"/>
    <w:rsid w:val="008A3161"/>
    <w:rsid w:val="008A4DCA"/>
    <w:rsid w:val="008A51FC"/>
    <w:rsid w:val="008A6445"/>
    <w:rsid w:val="008B0538"/>
    <w:rsid w:val="008B062E"/>
    <w:rsid w:val="008B31A1"/>
    <w:rsid w:val="008B4028"/>
    <w:rsid w:val="008B5C74"/>
    <w:rsid w:val="008B716C"/>
    <w:rsid w:val="008C147A"/>
    <w:rsid w:val="008C3BDB"/>
    <w:rsid w:val="008C5693"/>
    <w:rsid w:val="008D2063"/>
    <w:rsid w:val="008D4427"/>
    <w:rsid w:val="008D4BF8"/>
    <w:rsid w:val="008D52E5"/>
    <w:rsid w:val="008D58A0"/>
    <w:rsid w:val="008D6EA2"/>
    <w:rsid w:val="008F0BAA"/>
    <w:rsid w:val="008F1A96"/>
    <w:rsid w:val="008F404E"/>
    <w:rsid w:val="009000B2"/>
    <w:rsid w:val="00903DD0"/>
    <w:rsid w:val="0090658C"/>
    <w:rsid w:val="009121AD"/>
    <w:rsid w:val="00913B7B"/>
    <w:rsid w:val="00914661"/>
    <w:rsid w:val="00921C2C"/>
    <w:rsid w:val="0092377C"/>
    <w:rsid w:val="00927547"/>
    <w:rsid w:val="0093244D"/>
    <w:rsid w:val="00933004"/>
    <w:rsid w:val="009342F2"/>
    <w:rsid w:val="0094350E"/>
    <w:rsid w:val="00950696"/>
    <w:rsid w:val="00953A11"/>
    <w:rsid w:val="00956A68"/>
    <w:rsid w:val="0096034E"/>
    <w:rsid w:val="00960935"/>
    <w:rsid w:val="009612CB"/>
    <w:rsid w:val="0096336F"/>
    <w:rsid w:val="009723CB"/>
    <w:rsid w:val="00975A68"/>
    <w:rsid w:val="00977508"/>
    <w:rsid w:val="00977967"/>
    <w:rsid w:val="00977CDD"/>
    <w:rsid w:val="00985E9C"/>
    <w:rsid w:val="00991978"/>
    <w:rsid w:val="00992A6E"/>
    <w:rsid w:val="009A1248"/>
    <w:rsid w:val="009A711B"/>
    <w:rsid w:val="009A7939"/>
    <w:rsid w:val="009B0A33"/>
    <w:rsid w:val="009B0F40"/>
    <w:rsid w:val="009B10C7"/>
    <w:rsid w:val="009B1474"/>
    <w:rsid w:val="009B605C"/>
    <w:rsid w:val="009B73B6"/>
    <w:rsid w:val="009C0BB4"/>
    <w:rsid w:val="009C2357"/>
    <w:rsid w:val="009C23CA"/>
    <w:rsid w:val="009C7406"/>
    <w:rsid w:val="009D1B2E"/>
    <w:rsid w:val="009D643D"/>
    <w:rsid w:val="009E1D7A"/>
    <w:rsid w:val="009E37EF"/>
    <w:rsid w:val="009F15E0"/>
    <w:rsid w:val="009F6BAE"/>
    <w:rsid w:val="009F7A08"/>
    <w:rsid w:val="00A002A4"/>
    <w:rsid w:val="00A009BF"/>
    <w:rsid w:val="00A029CE"/>
    <w:rsid w:val="00A06AD5"/>
    <w:rsid w:val="00A07017"/>
    <w:rsid w:val="00A07262"/>
    <w:rsid w:val="00A10B4E"/>
    <w:rsid w:val="00A12B3F"/>
    <w:rsid w:val="00A12E72"/>
    <w:rsid w:val="00A137EB"/>
    <w:rsid w:val="00A1498B"/>
    <w:rsid w:val="00A15EFE"/>
    <w:rsid w:val="00A1674E"/>
    <w:rsid w:val="00A17AD9"/>
    <w:rsid w:val="00A20028"/>
    <w:rsid w:val="00A21C28"/>
    <w:rsid w:val="00A23F7F"/>
    <w:rsid w:val="00A2435D"/>
    <w:rsid w:val="00A2451D"/>
    <w:rsid w:val="00A25BBA"/>
    <w:rsid w:val="00A27693"/>
    <w:rsid w:val="00A309A8"/>
    <w:rsid w:val="00A33E18"/>
    <w:rsid w:val="00A348F8"/>
    <w:rsid w:val="00A44573"/>
    <w:rsid w:val="00A52C4F"/>
    <w:rsid w:val="00A53F88"/>
    <w:rsid w:val="00A5442B"/>
    <w:rsid w:val="00A54B8A"/>
    <w:rsid w:val="00A55895"/>
    <w:rsid w:val="00A55F05"/>
    <w:rsid w:val="00A57542"/>
    <w:rsid w:val="00A62A39"/>
    <w:rsid w:val="00A62A73"/>
    <w:rsid w:val="00A6483D"/>
    <w:rsid w:val="00A70055"/>
    <w:rsid w:val="00A73034"/>
    <w:rsid w:val="00A7671D"/>
    <w:rsid w:val="00A809D5"/>
    <w:rsid w:val="00A812E7"/>
    <w:rsid w:val="00A8197B"/>
    <w:rsid w:val="00A82654"/>
    <w:rsid w:val="00A85189"/>
    <w:rsid w:val="00A875BF"/>
    <w:rsid w:val="00A93522"/>
    <w:rsid w:val="00A95B73"/>
    <w:rsid w:val="00AA0B92"/>
    <w:rsid w:val="00AA0E9F"/>
    <w:rsid w:val="00AA3AEF"/>
    <w:rsid w:val="00AA3B5E"/>
    <w:rsid w:val="00AA4686"/>
    <w:rsid w:val="00AA52AF"/>
    <w:rsid w:val="00AB1052"/>
    <w:rsid w:val="00AB4E56"/>
    <w:rsid w:val="00AB787B"/>
    <w:rsid w:val="00AB79B6"/>
    <w:rsid w:val="00AC778A"/>
    <w:rsid w:val="00AC7E37"/>
    <w:rsid w:val="00AD20E5"/>
    <w:rsid w:val="00AD2903"/>
    <w:rsid w:val="00AD3A60"/>
    <w:rsid w:val="00AD3CFC"/>
    <w:rsid w:val="00AD4F11"/>
    <w:rsid w:val="00AD67DD"/>
    <w:rsid w:val="00AD7F63"/>
    <w:rsid w:val="00AE0E38"/>
    <w:rsid w:val="00AE13E8"/>
    <w:rsid w:val="00AE2885"/>
    <w:rsid w:val="00AE30C3"/>
    <w:rsid w:val="00AE606F"/>
    <w:rsid w:val="00AF14FC"/>
    <w:rsid w:val="00AF220E"/>
    <w:rsid w:val="00AF242C"/>
    <w:rsid w:val="00B00F3D"/>
    <w:rsid w:val="00B02C8F"/>
    <w:rsid w:val="00B0397C"/>
    <w:rsid w:val="00B043E8"/>
    <w:rsid w:val="00B06120"/>
    <w:rsid w:val="00B07130"/>
    <w:rsid w:val="00B072EB"/>
    <w:rsid w:val="00B07862"/>
    <w:rsid w:val="00B07B37"/>
    <w:rsid w:val="00B115E2"/>
    <w:rsid w:val="00B13A87"/>
    <w:rsid w:val="00B216E3"/>
    <w:rsid w:val="00B2398E"/>
    <w:rsid w:val="00B23C77"/>
    <w:rsid w:val="00B25109"/>
    <w:rsid w:val="00B317A9"/>
    <w:rsid w:val="00B31D83"/>
    <w:rsid w:val="00B33573"/>
    <w:rsid w:val="00B34199"/>
    <w:rsid w:val="00B34352"/>
    <w:rsid w:val="00B3443C"/>
    <w:rsid w:val="00B346F0"/>
    <w:rsid w:val="00B35027"/>
    <w:rsid w:val="00B436AC"/>
    <w:rsid w:val="00B4763A"/>
    <w:rsid w:val="00B508E7"/>
    <w:rsid w:val="00B516D9"/>
    <w:rsid w:val="00B523ED"/>
    <w:rsid w:val="00B52763"/>
    <w:rsid w:val="00B569F2"/>
    <w:rsid w:val="00B56B09"/>
    <w:rsid w:val="00B57564"/>
    <w:rsid w:val="00B62C59"/>
    <w:rsid w:val="00B65F0C"/>
    <w:rsid w:val="00B66E70"/>
    <w:rsid w:val="00B73236"/>
    <w:rsid w:val="00B7439D"/>
    <w:rsid w:val="00B80829"/>
    <w:rsid w:val="00B80851"/>
    <w:rsid w:val="00B82A2C"/>
    <w:rsid w:val="00B83DA2"/>
    <w:rsid w:val="00B84155"/>
    <w:rsid w:val="00B8423B"/>
    <w:rsid w:val="00B845C6"/>
    <w:rsid w:val="00B91335"/>
    <w:rsid w:val="00B920E5"/>
    <w:rsid w:val="00B925E7"/>
    <w:rsid w:val="00B94F02"/>
    <w:rsid w:val="00B9625F"/>
    <w:rsid w:val="00B967EE"/>
    <w:rsid w:val="00B97423"/>
    <w:rsid w:val="00B97850"/>
    <w:rsid w:val="00BA072F"/>
    <w:rsid w:val="00BA3066"/>
    <w:rsid w:val="00BA37E1"/>
    <w:rsid w:val="00BA7FA9"/>
    <w:rsid w:val="00BB1AC4"/>
    <w:rsid w:val="00BB29EC"/>
    <w:rsid w:val="00BB4459"/>
    <w:rsid w:val="00BB589B"/>
    <w:rsid w:val="00BB5FF1"/>
    <w:rsid w:val="00BC27DC"/>
    <w:rsid w:val="00BC2B64"/>
    <w:rsid w:val="00BC2C47"/>
    <w:rsid w:val="00BC2DB8"/>
    <w:rsid w:val="00BC30F8"/>
    <w:rsid w:val="00BC39CC"/>
    <w:rsid w:val="00BC4CF0"/>
    <w:rsid w:val="00BC6331"/>
    <w:rsid w:val="00BD3FF1"/>
    <w:rsid w:val="00BD6A1D"/>
    <w:rsid w:val="00BE353D"/>
    <w:rsid w:val="00BE578A"/>
    <w:rsid w:val="00BF0062"/>
    <w:rsid w:val="00BF09AA"/>
    <w:rsid w:val="00BF0C8F"/>
    <w:rsid w:val="00BF15DE"/>
    <w:rsid w:val="00BF3804"/>
    <w:rsid w:val="00C00CD9"/>
    <w:rsid w:val="00C01865"/>
    <w:rsid w:val="00C07D39"/>
    <w:rsid w:val="00C17338"/>
    <w:rsid w:val="00C24A53"/>
    <w:rsid w:val="00C31A3C"/>
    <w:rsid w:val="00C328A3"/>
    <w:rsid w:val="00C365EE"/>
    <w:rsid w:val="00C400EC"/>
    <w:rsid w:val="00C408F8"/>
    <w:rsid w:val="00C40A79"/>
    <w:rsid w:val="00C45B63"/>
    <w:rsid w:val="00C5077A"/>
    <w:rsid w:val="00C50DC5"/>
    <w:rsid w:val="00C50E7C"/>
    <w:rsid w:val="00C60FD7"/>
    <w:rsid w:val="00C61D95"/>
    <w:rsid w:val="00C705B5"/>
    <w:rsid w:val="00C70C0C"/>
    <w:rsid w:val="00C73289"/>
    <w:rsid w:val="00C73954"/>
    <w:rsid w:val="00C73E84"/>
    <w:rsid w:val="00C74A9C"/>
    <w:rsid w:val="00C753C3"/>
    <w:rsid w:val="00C76799"/>
    <w:rsid w:val="00C770A1"/>
    <w:rsid w:val="00C84DE1"/>
    <w:rsid w:val="00C8630B"/>
    <w:rsid w:val="00C8780F"/>
    <w:rsid w:val="00C90C5E"/>
    <w:rsid w:val="00C91AB6"/>
    <w:rsid w:val="00C940FB"/>
    <w:rsid w:val="00C951C6"/>
    <w:rsid w:val="00C95A7C"/>
    <w:rsid w:val="00C96C7D"/>
    <w:rsid w:val="00C96E7C"/>
    <w:rsid w:val="00CA476D"/>
    <w:rsid w:val="00CA4B31"/>
    <w:rsid w:val="00CA6E34"/>
    <w:rsid w:val="00CB073A"/>
    <w:rsid w:val="00CB26B2"/>
    <w:rsid w:val="00CB4158"/>
    <w:rsid w:val="00CC6CD2"/>
    <w:rsid w:val="00CC7235"/>
    <w:rsid w:val="00CD27EE"/>
    <w:rsid w:val="00CE34FE"/>
    <w:rsid w:val="00CE5AA5"/>
    <w:rsid w:val="00CE65B4"/>
    <w:rsid w:val="00CF1019"/>
    <w:rsid w:val="00CF241C"/>
    <w:rsid w:val="00CF282A"/>
    <w:rsid w:val="00CF67BB"/>
    <w:rsid w:val="00CF6F7D"/>
    <w:rsid w:val="00CF760B"/>
    <w:rsid w:val="00D00EA6"/>
    <w:rsid w:val="00D0283D"/>
    <w:rsid w:val="00D030CC"/>
    <w:rsid w:val="00D03ACD"/>
    <w:rsid w:val="00D048AD"/>
    <w:rsid w:val="00D136BD"/>
    <w:rsid w:val="00D1456B"/>
    <w:rsid w:val="00D1461E"/>
    <w:rsid w:val="00D149E1"/>
    <w:rsid w:val="00D15CD0"/>
    <w:rsid w:val="00D15E28"/>
    <w:rsid w:val="00D1730C"/>
    <w:rsid w:val="00D17AAB"/>
    <w:rsid w:val="00D20784"/>
    <w:rsid w:val="00D2260C"/>
    <w:rsid w:val="00D24FBB"/>
    <w:rsid w:val="00D258B9"/>
    <w:rsid w:val="00D26F3D"/>
    <w:rsid w:val="00D2743D"/>
    <w:rsid w:val="00D31DC2"/>
    <w:rsid w:val="00D31E3E"/>
    <w:rsid w:val="00D3743D"/>
    <w:rsid w:val="00D428B9"/>
    <w:rsid w:val="00D44BFA"/>
    <w:rsid w:val="00D466E4"/>
    <w:rsid w:val="00D53352"/>
    <w:rsid w:val="00D53E37"/>
    <w:rsid w:val="00D54701"/>
    <w:rsid w:val="00D548AB"/>
    <w:rsid w:val="00D56552"/>
    <w:rsid w:val="00D57CB5"/>
    <w:rsid w:val="00D63E5C"/>
    <w:rsid w:val="00D65EC2"/>
    <w:rsid w:val="00D74024"/>
    <w:rsid w:val="00D7686A"/>
    <w:rsid w:val="00D81A6D"/>
    <w:rsid w:val="00D81BCA"/>
    <w:rsid w:val="00D83B1F"/>
    <w:rsid w:val="00D864D9"/>
    <w:rsid w:val="00D86CA8"/>
    <w:rsid w:val="00D87A68"/>
    <w:rsid w:val="00D94C9B"/>
    <w:rsid w:val="00D95D63"/>
    <w:rsid w:val="00D960DD"/>
    <w:rsid w:val="00D96D6E"/>
    <w:rsid w:val="00D97F63"/>
    <w:rsid w:val="00DA00DE"/>
    <w:rsid w:val="00DA19B9"/>
    <w:rsid w:val="00DA25A8"/>
    <w:rsid w:val="00DA4F08"/>
    <w:rsid w:val="00DA64DE"/>
    <w:rsid w:val="00DA6874"/>
    <w:rsid w:val="00DA6D03"/>
    <w:rsid w:val="00DB229D"/>
    <w:rsid w:val="00DB2353"/>
    <w:rsid w:val="00DB4B02"/>
    <w:rsid w:val="00DB576E"/>
    <w:rsid w:val="00DB72EB"/>
    <w:rsid w:val="00DC024C"/>
    <w:rsid w:val="00DC2C52"/>
    <w:rsid w:val="00DC68FD"/>
    <w:rsid w:val="00DD18E9"/>
    <w:rsid w:val="00DD474C"/>
    <w:rsid w:val="00DD573A"/>
    <w:rsid w:val="00DD5820"/>
    <w:rsid w:val="00DE150C"/>
    <w:rsid w:val="00DE2FC9"/>
    <w:rsid w:val="00DE3CE3"/>
    <w:rsid w:val="00DE4339"/>
    <w:rsid w:val="00DE43F5"/>
    <w:rsid w:val="00DE4734"/>
    <w:rsid w:val="00DE57E3"/>
    <w:rsid w:val="00DE7848"/>
    <w:rsid w:val="00DF10BC"/>
    <w:rsid w:val="00DF23EF"/>
    <w:rsid w:val="00DF58C5"/>
    <w:rsid w:val="00E06E14"/>
    <w:rsid w:val="00E101FF"/>
    <w:rsid w:val="00E11681"/>
    <w:rsid w:val="00E11EED"/>
    <w:rsid w:val="00E12D0F"/>
    <w:rsid w:val="00E13664"/>
    <w:rsid w:val="00E13C2A"/>
    <w:rsid w:val="00E16051"/>
    <w:rsid w:val="00E170E2"/>
    <w:rsid w:val="00E201CC"/>
    <w:rsid w:val="00E24230"/>
    <w:rsid w:val="00E246A0"/>
    <w:rsid w:val="00E3040C"/>
    <w:rsid w:val="00E31115"/>
    <w:rsid w:val="00E31AD2"/>
    <w:rsid w:val="00E327E1"/>
    <w:rsid w:val="00E32B3D"/>
    <w:rsid w:val="00E33BA4"/>
    <w:rsid w:val="00E34884"/>
    <w:rsid w:val="00E36443"/>
    <w:rsid w:val="00E37F44"/>
    <w:rsid w:val="00E406E6"/>
    <w:rsid w:val="00E43526"/>
    <w:rsid w:val="00E43F0C"/>
    <w:rsid w:val="00E515BE"/>
    <w:rsid w:val="00E529CB"/>
    <w:rsid w:val="00E54BCA"/>
    <w:rsid w:val="00E55F02"/>
    <w:rsid w:val="00E64266"/>
    <w:rsid w:val="00E73027"/>
    <w:rsid w:val="00E7417E"/>
    <w:rsid w:val="00E76C85"/>
    <w:rsid w:val="00E77EC6"/>
    <w:rsid w:val="00E80234"/>
    <w:rsid w:val="00E82DFC"/>
    <w:rsid w:val="00E8546B"/>
    <w:rsid w:val="00E858BB"/>
    <w:rsid w:val="00E85B7E"/>
    <w:rsid w:val="00E86521"/>
    <w:rsid w:val="00E90EE9"/>
    <w:rsid w:val="00E9167C"/>
    <w:rsid w:val="00E93BE4"/>
    <w:rsid w:val="00E96ED9"/>
    <w:rsid w:val="00EA2B8C"/>
    <w:rsid w:val="00EA2FA8"/>
    <w:rsid w:val="00EA3B9F"/>
    <w:rsid w:val="00EA4F77"/>
    <w:rsid w:val="00EA59F5"/>
    <w:rsid w:val="00EB3578"/>
    <w:rsid w:val="00EB3B00"/>
    <w:rsid w:val="00EB5BC2"/>
    <w:rsid w:val="00EC2F22"/>
    <w:rsid w:val="00EC3D46"/>
    <w:rsid w:val="00EC55B6"/>
    <w:rsid w:val="00EC5DE6"/>
    <w:rsid w:val="00EC784A"/>
    <w:rsid w:val="00ED0822"/>
    <w:rsid w:val="00ED3E0F"/>
    <w:rsid w:val="00ED4A15"/>
    <w:rsid w:val="00ED5A72"/>
    <w:rsid w:val="00ED5F8E"/>
    <w:rsid w:val="00ED6B42"/>
    <w:rsid w:val="00ED6E66"/>
    <w:rsid w:val="00ED7A7D"/>
    <w:rsid w:val="00EE0C3D"/>
    <w:rsid w:val="00EE3EC0"/>
    <w:rsid w:val="00EE55B2"/>
    <w:rsid w:val="00EE5D7B"/>
    <w:rsid w:val="00EE605E"/>
    <w:rsid w:val="00EF2DD8"/>
    <w:rsid w:val="00EF461A"/>
    <w:rsid w:val="00EF57A3"/>
    <w:rsid w:val="00EF78BE"/>
    <w:rsid w:val="00F011B1"/>
    <w:rsid w:val="00F043C2"/>
    <w:rsid w:val="00F05286"/>
    <w:rsid w:val="00F05CC7"/>
    <w:rsid w:val="00F07DC5"/>
    <w:rsid w:val="00F10D80"/>
    <w:rsid w:val="00F129AB"/>
    <w:rsid w:val="00F15500"/>
    <w:rsid w:val="00F155B0"/>
    <w:rsid w:val="00F16E18"/>
    <w:rsid w:val="00F241F6"/>
    <w:rsid w:val="00F242F6"/>
    <w:rsid w:val="00F24B2C"/>
    <w:rsid w:val="00F24D01"/>
    <w:rsid w:val="00F264FC"/>
    <w:rsid w:val="00F30FA2"/>
    <w:rsid w:val="00F36E46"/>
    <w:rsid w:val="00F40750"/>
    <w:rsid w:val="00F41982"/>
    <w:rsid w:val="00F441FD"/>
    <w:rsid w:val="00F4512D"/>
    <w:rsid w:val="00F50C29"/>
    <w:rsid w:val="00F51F23"/>
    <w:rsid w:val="00F525ED"/>
    <w:rsid w:val="00F53523"/>
    <w:rsid w:val="00F56954"/>
    <w:rsid w:val="00F56E4A"/>
    <w:rsid w:val="00F612F7"/>
    <w:rsid w:val="00F72A14"/>
    <w:rsid w:val="00F80431"/>
    <w:rsid w:val="00F82601"/>
    <w:rsid w:val="00F848DD"/>
    <w:rsid w:val="00F86CE6"/>
    <w:rsid w:val="00F930B1"/>
    <w:rsid w:val="00F9626E"/>
    <w:rsid w:val="00F97FC1"/>
    <w:rsid w:val="00FB0B42"/>
    <w:rsid w:val="00FB287D"/>
    <w:rsid w:val="00FB427A"/>
    <w:rsid w:val="00FB4B18"/>
    <w:rsid w:val="00FB5F2E"/>
    <w:rsid w:val="00FB68EB"/>
    <w:rsid w:val="00FC112A"/>
    <w:rsid w:val="00FC3FD5"/>
    <w:rsid w:val="00FC4693"/>
    <w:rsid w:val="00FC6DE7"/>
    <w:rsid w:val="00FD0606"/>
    <w:rsid w:val="00FD07B4"/>
    <w:rsid w:val="00FD6B2D"/>
    <w:rsid w:val="00FD7AE5"/>
    <w:rsid w:val="00FE002F"/>
    <w:rsid w:val="00FE1400"/>
    <w:rsid w:val="00FE5B56"/>
    <w:rsid w:val="00FE5C85"/>
    <w:rsid w:val="00FE78DC"/>
    <w:rsid w:val="00FE7BD8"/>
    <w:rsid w:val="00FF1F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718B"/>
  <w15:docId w15:val="{94DAE0A7-030C-4CC3-B2B9-A6B989CF8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A32"/>
    <w:pPr>
      <w:spacing w:line="256" w:lineRule="auto"/>
    </w:pPr>
    <w:rPr>
      <w:rFonts w:eastAsiaTheme="minorEastAsia"/>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B42"/>
    <w:rPr>
      <w:color w:val="0563C1" w:themeColor="hyperlink"/>
      <w:u w:val="single"/>
    </w:rPr>
  </w:style>
  <w:style w:type="paragraph" w:styleId="NormalWeb">
    <w:name w:val="Normal (Web)"/>
    <w:basedOn w:val="Normal"/>
    <w:uiPriority w:val="99"/>
    <w:unhideWhenUsed/>
    <w:rsid w:val="00ED6B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D6B42"/>
    <w:pPr>
      <w:ind w:left="720"/>
      <w:contextualSpacing/>
    </w:pPr>
  </w:style>
  <w:style w:type="paragraph" w:customStyle="1" w:styleId="Disclaimer">
    <w:name w:val="Disclaimer"/>
    <w:basedOn w:val="Normal"/>
    <w:qFormat/>
    <w:rsid w:val="00B4763A"/>
    <w:pPr>
      <w:pBdr>
        <w:top w:val="single" w:sz="2" w:space="1" w:color="000001"/>
        <w:left w:val="single" w:sz="2" w:space="1" w:color="000001"/>
        <w:bottom w:val="single" w:sz="2" w:space="1" w:color="000001"/>
        <w:right w:val="single" w:sz="2" w:space="1" w:color="000001"/>
      </w:pBdr>
      <w:shd w:val="clear" w:color="auto" w:fill="DDDDDD"/>
      <w:spacing w:before="101" w:after="101" w:line="240" w:lineRule="auto"/>
      <w:jc w:val="both"/>
    </w:pPr>
    <w:rPr>
      <w:rFonts w:eastAsiaTheme="minorHAnsi"/>
      <w:color w:val="00000A"/>
      <w:sz w:val="24"/>
      <w:szCs w:val="24"/>
      <w:lang w:eastAsia="en-US"/>
    </w:rPr>
  </w:style>
  <w:style w:type="paragraph" w:customStyle="1" w:styleId="BlackStrips">
    <w:name w:val="Black Strips"/>
    <w:basedOn w:val="Normal"/>
    <w:qFormat/>
    <w:rsid w:val="00B4763A"/>
    <w:pPr>
      <w:shd w:val="clear" w:color="auto" w:fill="000000"/>
      <w:spacing w:after="200" w:line="240" w:lineRule="auto"/>
      <w:jc w:val="center"/>
    </w:pPr>
    <w:rPr>
      <w:rFonts w:eastAsiaTheme="minorHAnsi"/>
      <w:color w:val="FFFFFF"/>
      <w:sz w:val="24"/>
      <w:szCs w:val="24"/>
      <w:lang w:eastAsia="en-US"/>
    </w:rPr>
  </w:style>
  <w:style w:type="character" w:customStyle="1" w:styleId="UnresolvedMention1">
    <w:name w:val="Unresolved Mention1"/>
    <w:basedOn w:val="DefaultParagraphFont"/>
    <w:uiPriority w:val="99"/>
    <w:semiHidden/>
    <w:unhideWhenUsed/>
    <w:rsid w:val="00BA37E1"/>
    <w:rPr>
      <w:color w:val="605E5C"/>
      <w:shd w:val="clear" w:color="auto" w:fill="E1DFDD"/>
    </w:rPr>
  </w:style>
  <w:style w:type="paragraph" w:styleId="Revision">
    <w:name w:val="Revision"/>
    <w:hidden/>
    <w:uiPriority w:val="99"/>
    <w:semiHidden/>
    <w:rsid w:val="00183CF7"/>
    <w:pPr>
      <w:spacing w:after="0" w:line="240" w:lineRule="auto"/>
    </w:pPr>
    <w:rPr>
      <w:rFonts w:eastAsiaTheme="minorEastAsia"/>
      <w:lang w:eastAsia="zh-CN"/>
    </w:rPr>
  </w:style>
  <w:style w:type="paragraph" w:styleId="BalloonText">
    <w:name w:val="Balloon Text"/>
    <w:basedOn w:val="Normal"/>
    <w:link w:val="BalloonTextChar"/>
    <w:uiPriority w:val="99"/>
    <w:semiHidden/>
    <w:unhideWhenUsed/>
    <w:rsid w:val="00011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D2F"/>
    <w:rPr>
      <w:rFonts w:ascii="Tahoma" w:eastAsiaTheme="minorEastAsia" w:hAnsi="Tahoma" w:cs="Tahoma"/>
      <w:sz w:val="16"/>
      <w:szCs w:val="16"/>
      <w:lang w:eastAsia="zh-CN"/>
    </w:rPr>
  </w:style>
  <w:style w:type="character" w:customStyle="1" w:styleId="UnresolvedMention2">
    <w:name w:val="Unresolved Mention2"/>
    <w:basedOn w:val="DefaultParagraphFont"/>
    <w:uiPriority w:val="99"/>
    <w:semiHidden/>
    <w:unhideWhenUsed/>
    <w:rsid w:val="008577C6"/>
    <w:rPr>
      <w:color w:val="605E5C"/>
      <w:shd w:val="clear" w:color="auto" w:fill="E1DFDD"/>
    </w:rPr>
  </w:style>
  <w:style w:type="character" w:customStyle="1" w:styleId="UnresolvedMention3">
    <w:name w:val="Unresolved Mention3"/>
    <w:basedOn w:val="DefaultParagraphFont"/>
    <w:uiPriority w:val="99"/>
    <w:semiHidden/>
    <w:unhideWhenUsed/>
    <w:rsid w:val="00ED0822"/>
    <w:rPr>
      <w:color w:val="605E5C"/>
      <w:shd w:val="clear" w:color="auto" w:fill="E1DFDD"/>
    </w:rPr>
  </w:style>
  <w:style w:type="character" w:styleId="CommentReference">
    <w:name w:val="annotation reference"/>
    <w:basedOn w:val="DefaultParagraphFont"/>
    <w:uiPriority w:val="99"/>
    <w:semiHidden/>
    <w:unhideWhenUsed/>
    <w:rsid w:val="004B0F4E"/>
    <w:rPr>
      <w:sz w:val="16"/>
      <w:szCs w:val="16"/>
    </w:rPr>
  </w:style>
  <w:style w:type="paragraph" w:styleId="CommentText">
    <w:name w:val="annotation text"/>
    <w:basedOn w:val="Normal"/>
    <w:link w:val="CommentTextChar"/>
    <w:uiPriority w:val="99"/>
    <w:semiHidden/>
    <w:unhideWhenUsed/>
    <w:rsid w:val="004B0F4E"/>
    <w:pPr>
      <w:spacing w:line="240" w:lineRule="auto"/>
    </w:pPr>
    <w:rPr>
      <w:sz w:val="20"/>
      <w:szCs w:val="20"/>
    </w:rPr>
  </w:style>
  <w:style w:type="character" w:customStyle="1" w:styleId="CommentTextChar">
    <w:name w:val="Comment Text Char"/>
    <w:basedOn w:val="DefaultParagraphFont"/>
    <w:link w:val="CommentText"/>
    <w:uiPriority w:val="99"/>
    <w:semiHidden/>
    <w:rsid w:val="004B0F4E"/>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4B0F4E"/>
    <w:rPr>
      <w:b/>
      <w:bCs/>
    </w:rPr>
  </w:style>
  <w:style w:type="character" w:customStyle="1" w:styleId="CommentSubjectChar">
    <w:name w:val="Comment Subject Char"/>
    <w:basedOn w:val="CommentTextChar"/>
    <w:link w:val="CommentSubject"/>
    <w:uiPriority w:val="99"/>
    <w:semiHidden/>
    <w:rsid w:val="004B0F4E"/>
    <w:rPr>
      <w:rFonts w:eastAsiaTheme="minorEastAsia"/>
      <w:b/>
      <w:bCs/>
      <w:sz w:val="20"/>
      <w:szCs w:val="20"/>
      <w:lang w:eastAsia="zh-CN"/>
    </w:rPr>
  </w:style>
  <w:style w:type="character" w:customStyle="1" w:styleId="UnresolvedMention4">
    <w:name w:val="Unresolved Mention4"/>
    <w:basedOn w:val="DefaultParagraphFont"/>
    <w:uiPriority w:val="99"/>
    <w:semiHidden/>
    <w:unhideWhenUsed/>
    <w:rsid w:val="00FB4B18"/>
    <w:rPr>
      <w:color w:val="605E5C"/>
      <w:shd w:val="clear" w:color="auto" w:fill="E1DFDD"/>
    </w:rPr>
  </w:style>
  <w:style w:type="character" w:styleId="FollowedHyperlink">
    <w:name w:val="FollowedHyperlink"/>
    <w:basedOn w:val="DefaultParagraphFont"/>
    <w:uiPriority w:val="99"/>
    <w:semiHidden/>
    <w:unhideWhenUsed/>
    <w:rsid w:val="00374E68"/>
    <w:rPr>
      <w:color w:val="954F72" w:themeColor="followedHyperlink"/>
      <w:u w:val="single"/>
    </w:rPr>
  </w:style>
  <w:style w:type="character" w:styleId="UnresolvedMention">
    <w:name w:val="Unresolved Mention"/>
    <w:basedOn w:val="DefaultParagraphFont"/>
    <w:uiPriority w:val="99"/>
    <w:semiHidden/>
    <w:unhideWhenUsed/>
    <w:rsid w:val="00372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235">
      <w:bodyDiv w:val="1"/>
      <w:marLeft w:val="0"/>
      <w:marRight w:val="0"/>
      <w:marTop w:val="0"/>
      <w:marBottom w:val="0"/>
      <w:divBdr>
        <w:top w:val="none" w:sz="0" w:space="0" w:color="auto"/>
        <w:left w:val="none" w:sz="0" w:space="0" w:color="auto"/>
        <w:bottom w:val="none" w:sz="0" w:space="0" w:color="auto"/>
        <w:right w:val="none" w:sz="0" w:space="0" w:color="auto"/>
      </w:divBdr>
    </w:div>
    <w:div w:id="5063735">
      <w:bodyDiv w:val="1"/>
      <w:marLeft w:val="0"/>
      <w:marRight w:val="0"/>
      <w:marTop w:val="0"/>
      <w:marBottom w:val="0"/>
      <w:divBdr>
        <w:top w:val="none" w:sz="0" w:space="0" w:color="auto"/>
        <w:left w:val="none" w:sz="0" w:space="0" w:color="auto"/>
        <w:bottom w:val="none" w:sz="0" w:space="0" w:color="auto"/>
        <w:right w:val="none" w:sz="0" w:space="0" w:color="auto"/>
      </w:divBdr>
    </w:div>
    <w:div w:id="9451652">
      <w:bodyDiv w:val="1"/>
      <w:marLeft w:val="0"/>
      <w:marRight w:val="0"/>
      <w:marTop w:val="0"/>
      <w:marBottom w:val="0"/>
      <w:divBdr>
        <w:top w:val="none" w:sz="0" w:space="0" w:color="auto"/>
        <w:left w:val="none" w:sz="0" w:space="0" w:color="auto"/>
        <w:bottom w:val="none" w:sz="0" w:space="0" w:color="auto"/>
        <w:right w:val="none" w:sz="0" w:space="0" w:color="auto"/>
      </w:divBdr>
    </w:div>
    <w:div w:id="12457434">
      <w:bodyDiv w:val="1"/>
      <w:marLeft w:val="0"/>
      <w:marRight w:val="0"/>
      <w:marTop w:val="0"/>
      <w:marBottom w:val="0"/>
      <w:divBdr>
        <w:top w:val="none" w:sz="0" w:space="0" w:color="auto"/>
        <w:left w:val="none" w:sz="0" w:space="0" w:color="auto"/>
        <w:bottom w:val="none" w:sz="0" w:space="0" w:color="auto"/>
        <w:right w:val="none" w:sz="0" w:space="0" w:color="auto"/>
      </w:divBdr>
    </w:div>
    <w:div w:id="15813072">
      <w:bodyDiv w:val="1"/>
      <w:marLeft w:val="0"/>
      <w:marRight w:val="0"/>
      <w:marTop w:val="0"/>
      <w:marBottom w:val="0"/>
      <w:divBdr>
        <w:top w:val="none" w:sz="0" w:space="0" w:color="auto"/>
        <w:left w:val="none" w:sz="0" w:space="0" w:color="auto"/>
        <w:bottom w:val="none" w:sz="0" w:space="0" w:color="auto"/>
        <w:right w:val="none" w:sz="0" w:space="0" w:color="auto"/>
      </w:divBdr>
    </w:div>
    <w:div w:id="21246210">
      <w:bodyDiv w:val="1"/>
      <w:marLeft w:val="0"/>
      <w:marRight w:val="0"/>
      <w:marTop w:val="0"/>
      <w:marBottom w:val="0"/>
      <w:divBdr>
        <w:top w:val="none" w:sz="0" w:space="0" w:color="auto"/>
        <w:left w:val="none" w:sz="0" w:space="0" w:color="auto"/>
        <w:bottom w:val="none" w:sz="0" w:space="0" w:color="auto"/>
        <w:right w:val="none" w:sz="0" w:space="0" w:color="auto"/>
      </w:divBdr>
    </w:div>
    <w:div w:id="22052674">
      <w:bodyDiv w:val="1"/>
      <w:marLeft w:val="0"/>
      <w:marRight w:val="0"/>
      <w:marTop w:val="0"/>
      <w:marBottom w:val="0"/>
      <w:divBdr>
        <w:top w:val="none" w:sz="0" w:space="0" w:color="auto"/>
        <w:left w:val="none" w:sz="0" w:space="0" w:color="auto"/>
        <w:bottom w:val="none" w:sz="0" w:space="0" w:color="auto"/>
        <w:right w:val="none" w:sz="0" w:space="0" w:color="auto"/>
      </w:divBdr>
    </w:div>
    <w:div w:id="23530172">
      <w:bodyDiv w:val="1"/>
      <w:marLeft w:val="0"/>
      <w:marRight w:val="0"/>
      <w:marTop w:val="0"/>
      <w:marBottom w:val="0"/>
      <w:divBdr>
        <w:top w:val="none" w:sz="0" w:space="0" w:color="auto"/>
        <w:left w:val="none" w:sz="0" w:space="0" w:color="auto"/>
        <w:bottom w:val="none" w:sz="0" w:space="0" w:color="auto"/>
        <w:right w:val="none" w:sz="0" w:space="0" w:color="auto"/>
      </w:divBdr>
    </w:div>
    <w:div w:id="26681975">
      <w:bodyDiv w:val="1"/>
      <w:marLeft w:val="0"/>
      <w:marRight w:val="0"/>
      <w:marTop w:val="0"/>
      <w:marBottom w:val="0"/>
      <w:divBdr>
        <w:top w:val="none" w:sz="0" w:space="0" w:color="auto"/>
        <w:left w:val="none" w:sz="0" w:space="0" w:color="auto"/>
        <w:bottom w:val="none" w:sz="0" w:space="0" w:color="auto"/>
        <w:right w:val="none" w:sz="0" w:space="0" w:color="auto"/>
      </w:divBdr>
    </w:div>
    <w:div w:id="29115322">
      <w:bodyDiv w:val="1"/>
      <w:marLeft w:val="0"/>
      <w:marRight w:val="0"/>
      <w:marTop w:val="0"/>
      <w:marBottom w:val="0"/>
      <w:divBdr>
        <w:top w:val="none" w:sz="0" w:space="0" w:color="auto"/>
        <w:left w:val="none" w:sz="0" w:space="0" w:color="auto"/>
        <w:bottom w:val="none" w:sz="0" w:space="0" w:color="auto"/>
        <w:right w:val="none" w:sz="0" w:space="0" w:color="auto"/>
      </w:divBdr>
    </w:div>
    <w:div w:id="35157158">
      <w:bodyDiv w:val="1"/>
      <w:marLeft w:val="0"/>
      <w:marRight w:val="0"/>
      <w:marTop w:val="0"/>
      <w:marBottom w:val="0"/>
      <w:divBdr>
        <w:top w:val="none" w:sz="0" w:space="0" w:color="auto"/>
        <w:left w:val="none" w:sz="0" w:space="0" w:color="auto"/>
        <w:bottom w:val="none" w:sz="0" w:space="0" w:color="auto"/>
        <w:right w:val="none" w:sz="0" w:space="0" w:color="auto"/>
      </w:divBdr>
    </w:div>
    <w:div w:id="35355232">
      <w:bodyDiv w:val="1"/>
      <w:marLeft w:val="0"/>
      <w:marRight w:val="0"/>
      <w:marTop w:val="0"/>
      <w:marBottom w:val="0"/>
      <w:divBdr>
        <w:top w:val="none" w:sz="0" w:space="0" w:color="auto"/>
        <w:left w:val="none" w:sz="0" w:space="0" w:color="auto"/>
        <w:bottom w:val="none" w:sz="0" w:space="0" w:color="auto"/>
        <w:right w:val="none" w:sz="0" w:space="0" w:color="auto"/>
      </w:divBdr>
    </w:div>
    <w:div w:id="39482004">
      <w:bodyDiv w:val="1"/>
      <w:marLeft w:val="0"/>
      <w:marRight w:val="0"/>
      <w:marTop w:val="0"/>
      <w:marBottom w:val="0"/>
      <w:divBdr>
        <w:top w:val="none" w:sz="0" w:space="0" w:color="auto"/>
        <w:left w:val="none" w:sz="0" w:space="0" w:color="auto"/>
        <w:bottom w:val="none" w:sz="0" w:space="0" w:color="auto"/>
        <w:right w:val="none" w:sz="0" w:space="0" w:color="auto"/>
      </w:divBdr>
    </w:div>
    <w:div w:id="41057232">
      <w:bodyDiv w:val="1"/>
      <w:marLeft w:val="0"/>
      <w:marRight w:val="0"/>
      <w:marTop w:val="0"/>
      <w:marBottom w:val="0"/>
      <w:divBdr>
        <w:top w:val="none" w:sz="0" w:space="0" w:color="auto"/>
        <w:left w:val="none" w:sz="0" w:space="0" w:color="auto"/>
        <w:bottom w:val="none" w:sz="0" w:space="0" w:color="auto"/>
        <w:right w:val="none" w:sz="0" w:space="0" w:color="auto"/>
      </w:divBdr>
    </w:div>
    <w:div w:id="42145092">
      <w:bodyDiv w:val="1"/>
      <w:marLeft w:val="0"/>
      <w:marRight w:val="0"/>
      <w:marTop w:val="0"/>
      <w:marBottom w:val="0"/>
      <w:divBdr>
        <w:top w:val="none" w:sz="0" w:space="0" w:color="auto"/>
        <w:left w:val="none" w:sz="0" w:space="0" w:color="auto"/>
        <w:bottom w:val="none" w:sz="0" w:space="0" w:color="auto"/>
        <w:right w:val="none" w:sz="0" w:space="0" w:color="auto"/>
      </w:divBdr>
    </w:div>
    <w:div w:id="42681148">
      <w:bodyDiv w:val="1"/>
      <w:marLeft w:val="0"/>
      <w:marRight w:val="0"/>
      <w:marTop w:val="0"/>
      <w:marBottom w:val="0"/>
      <w:divBdr>
        <w:top w:val="none" w:sz="0" w:space="0" w:color="auto"/>
        <w:left w:val="none" w:sz="0" w:space="0" w:color="auto"/>
        <w:bottom w:val="none" w:sz="0" w:space="0" w:color="auto"/>
        <w:right w:val="none" w:sz="0" w:space="0" w:color="auto"/>
      </w:divBdr>
    </w:div>
    <w:div w:id="44106316">
      <w:bodyDiv w:val="1"/>
      <w:marLeft w:val="0"/>
      <w:marRight w:val="0"/>
      <w:marTop w:val="0"/>
      <w:marBottom w:val="0"/>
      <w:divBdr>
        <w:top w:val="none" w:sz="0" w:space="0" w:color="auto"/>
        <w:left w:val="none" w:sz="0" w:space="0" w:color="auto"/>
        <w:bottom w:val="none" w:sz="0" w:space="0" w:color="auto"/>
        <w:right w:val="none" w:sz="0" w:space="0" w:color="auto"/>
      </w:divBdr>
    </w:div>
    <w:div w:id="47993258">
      <w:bodyDiv w:val="1"/>
      <w:marLeft w:val="0"/>
      <w:marRight w:val="0"/>
      <w:marTop w:val="0"/>
      <w:marBottom w:val="0"/>
      <w:divBdr>
        <w:top w:val="none" w:sz="0" w:space="0" w:color="auto"/>
        <w:left w:val="none" w:sz="0" w:space="0" w:color="auto"/>
        <w:bottom w:val="none" w:sz="0" w:space="0" w:color="auto"/>
        <w:right w:val="none" w:sz="0" w:space="0" w:color="auto"/>
      </w:divBdr>
    </w:div>
    <w:div w:id="50807078">
      <w:bodyDiv w:val="1"/>
      <w:marLeft w:val="0"/>
      <w:marRight w:val="0"/>
      <w:marTop w:val="0"/>
      <w:marBottom w:val="0"/>
      <w:divBdr>
        <w:top w:val="none" w:sz="0" w:space="0" w:color="auto"/>
        <w:left w:val="none" w:sz="0" w:space="0" w:color="auto"/>
        <w:bottom w:val="none" w:sz="0" w:space="0" w:color="auto"/>
        <w:right w:val="none" w:sz="0" w:space="0" w:color="auto"/>
      </w:divBdr>
    </w:div>
    <w:div w:id="51198513">
      <w:bodyDiv w:val="1"/>
      <w:marLeft w:val="0"/>
      <w:marRight w:val="0"/>
      <w:marTop w:val="0"/>
      <w:marBottom w:val="0"/>
      <w:divBdr>
        <w:top w:val="none" w:sz="0" w:space="0" w:color="auto"/>
        <w:left w:val="none" w:sz="0" w:space="0" w:color="auto"/>
        <w:bottom w:val="none" w:sz="0" w:space="0" w:color="auto"/>
        <w:right w:val="none" w:sz="0" w:space="0" w:color="auto"/>
      </w:divBdr>
    </w:div>
    <w:div w:id="52194211">
      <w:bodyDiv w:val="1"/>
      <w:marLeft w:val="0"/>
      <w:marRight w:val="0"/>
      <w:marTop w:val="0"/>
      <w:marBottom w:val="0"/>
      <w:divBdr>
        <w:top w:val="none" w:sz="0" w:space="0" w:color="auto"/>
        <w:left w:val="none" w:sz="0" w:space="0" w:color="auto"/>
        <w:bottom w:val="none" w:sz="0" w:space="0" w:color="auto"/>
        <w:right w:val="none" w:sz="0" w:space="0" w:color="auto"/>
      </w:divBdr>
    </w:div>
    <w:div w:id="52429000">
      <w:bodyDiv w:val="1"/>
      <w:marLeft w:val="0"/>
      <w:marRight w:val="0"/>
      <w:marTop w:val="0"/>
      <w:marBottom w:val="0"/>
      <w:divBdr>
        <w:top w:val="none" w:sz="0" w:space="0" w:color="auto"/>
        <w:left w:val="none" w:sz="0" w:space="0" w:color="auto"/>
        <w:bottom w:val="none" w:sz="0" w:space="0" w:color="auto"/>
        <w:right w:val="none" w:sz="0" w:space="0" w:color="auto"/>
      </w:divBdr>
    </w:div>
    <w:div w:id="52581393">
      <w:bodyDiv w:val="1"/>
      <w:marLeft w:val="0"/>
      <w:marRight w:val="0"/>
      <w:marTop w:val="0"/>
      <w:marBottom w:val="0"/>
      <w:divBdr>
        <w:top w:val="none" w:sz="0" w:space="0" w:color="auto"/>
        <w:left w:val="none" w:sz="0" w:space="0" w:color="auto"/>
        <w:bottom w:val="none" w:sz="0" w:space="0" w:color="auto"/>
        <w:right w:val="none" w:sz="0" w:space="0" w:color="auto"/>
      </w:divBdr>
    </w:div>
    <w:div w:id="60951717">
      <w:bodyDiv w:val="1"/>
      <w:marLeft w:val="0"/>
      <w:marRight w:val="0"/>
      <w:marTop w:val="0"/>
      <w:marBottom w:val="0"/>
      <w:divBdr>
        <w:top w:val="none" w:sz="0" w:space="0" w:color="auto"/>
        <w:left w:val="none" w:sz="0" w:space="0" w:color="auto"/>
        <w:bottom w:val="none" w:sz="0" w:space="0" w:color="auto"/>
        <w:right w:val="none" w:sz="0" w:space="0" w:color="auto"/>
      </w:divBdr>
    </w:div>
    <w:div w:id="61371614">
      <w:bodyDiv w:val="1"/>
      <w:marLeft w:val="0"/>
      <w:marRight w:val="0"/>
      <w:marTop w:val="0"/>
      <w:marBottom w:val="0"/>
      <w:divBdr>
        <w:top w:val="none" w:sz="0" w:space="0" w:color="auto"/>
        <w:left w:val="none" w:sz="0" w:space="0" w:color="auto"/>
        <w:bottom w:val="none" w:sz="0" w:space="0" w:color="auto"/>
        <w:right w:val="none" w:sz="0" w:space="0" w:color="auto"/>
      </w:divBdr>
    </w:div>
    <w:div w:id="61489406">
      <w:bodyDiv w:val="1"/>
      <w:marLeft w:val="0"/>
      <w:marRight w:val="0"/>
      <w:marTop w:val="0"/>
      <w:marBottom w:val="0"/>
      <w:divBdr>
        <w:top w:val="none" w:sz="0" w:space="0" w:color="auto"/>
        <w:left w:val="none" w:sz="0" w:space="0" w:color="auto"/>
        <w:bottom w:val="none" w:sz="0" w:space="0" w:color="auto"/>
        <w:right w:val="none" w:sz="0" w:space="0" w:color="auto"/>
      </w:divBdr>
    </w:div>
    <w:div w:id="61491955">
      <w:bodyDiv w:val="1"/>
      <w:marLeft w:val="0"/>
      <w:marRight w:val="0"/>
      <w:marTop w:val="0"/>
      <w:marBottom w:val="0"/>
      <w:divBdr>
        <w:top w:val="none" w:sz="0" w:space="0" w:color="auto"/>
        <w:left w:val="none" w:sz="0" w:space="0" w:color="auto"/>
        <w:bottom w:val="none" w:sz="0" w:space="0" w:color="auto"/>
        <w:right w:val="none" w:sz="0" w:space="0" w:color="auto"/>
      </w:divBdr>
    </w:div>
    <w:div w:id="63265303">
      <w:bodyDiv w:val="1"/>
      <w:marLeft w:val="0"/>
      <w:marRight w:val="0"/>
      <w:marTop w:val="0"/>
      <w:marBottom w:val="0"/>
      <w:divBdr>
        <w:top w:val="none" w:sz="0" w:space="0" w:color="auto"/>
        <w:left w:val="none" w:sz="0" w:space="0" w:color="auto"/>
        <w:bottom w:val="none" w:sz="0" w:space="0" w:color="auto"/>
        <w:right w:val="none" w:sz="0" w:space="0" w:color="auto"/>
      </w:divBdr>
    </w:div>
    <w:div w:id="75134547">
      <w:bodyDiv w:val="1"/>
      <w:marLeft w:val="0"/>
      <w:marRight w:val="0"/>
      <w:marTop w:val="0"/>
      <w:marBottom w:val="0"/>
      <w:divBdr>
        <w:top w:val="none" w:sz="0" w:space="0" w:color="auto"/>
        <w:left w:val="none" w:sz="0" w:space="0" w:color="auto"/>
        <w:bottom w:val="none" w:sz="0" w:space="0" w:color="auto"/>
        <w:right w:val="none" w:sz="0" w:space="0" w:color="auto"/>
      </w:divBdr>
    </w:div>
    <w:div w:id="76833254">
      <w:bodyDiv w:val="1"/>
      <w:marLeft w:val="0"/>
      <w:marRight w:val="0"/>
      <w:marTop w:val="0"/>
      <w:marBottom w:val="0"/>
      <w:divBdr>
        <w:top w:val="none" w:sz="0" w:space="0" w:color="auto"/>
        <w:left w:val="none" w:sz="0" w:space="0" w:color="auto"/>
        <w:bottom w:val="none" w:sz="0" w:space="0" w:color="auto"/>
        <w:right w:val="none" w:sz="0" w:space="0" w:color="auto"/>
      </w:divBdr>
    </w:div>
    <w:div w:id="77873908">
      <w:bodyDiv w:val="1"/>
      <w:marLeft w:val="0"/>
      <w:marRight w:val="0"/>
      <w:marTop w:val="0"/>
      <w:marBottom w:val="0"/>
      <w:divBdr>
        <w:top w:val="none" w:sz="0" w:space="0" w:color="auto"/>
        <w:left w:val="none" w:sz="0" w:space="0" w:color="auto"/>
        <w:bottom w:val="none" w:sz="0" w:space="0" w:color="auto"/>
        <w:right w:val="none" w:sz="0" w:space="0" w:color="auto"/>
      </w:divBdr>
    </w:div>
    <w:div w:id="82339919">
      <w:bodyDiv w:val="1"/>
      <w:marLeft w:val="0"/>
      <w:marRight w:val="0"/>
      <w:marTop w:val="0"/>
      <w:marBottom w:val="0"/>
      <w:divBdr>
        <w:top w:val="none" w:sz="0" w:space="0" w:color="auto"/>
        <w:left w:val="none" w:sz="0" w:space="0" w:color="auto"/>
        <w:bottom w:val="none" w:sz="0" w:space="0" w:color="auto"/>
        <w:right w:val="none" w:sz="0" w:space="0" w:color="auto"/>
      </w:divBdr>
    </w:div>
    <w:div w:id="82454447">
      <w:bodyDiv w:val="1"/>
      <w:marLeft w:val="0"/>
      <w:marRight w:val="0"/>
      <w:marTop w:val="0"/>
      <w:marBottom w:val="0"/>
      <w:divBdr>
        <w:top w:val="none" w:sz="0" w:space="0" w:color="auto"/>
        <w:left w:val="none" w:sz="0" w:space="0" w:color="auto"/>
        <w:bottom w:val="none" w:sz="0" w:space="0" w:color="auto"/>
        <w:right w:val="none" w:sz="0" w:space="0" w:color="auto"/>
      </w:divBdr>
    </w:div>
    <w:div w:id="84956226">
      <w:bodyDiv w:val="1"/>
      <w:marLeft w:val="0"/>
      <w:marRight w:val="0"/>
      <w:marTop w:val="0"/>
      <w:marBottom w:val="0"/>
      <w:divBdr>
        <w:top w:val="none" w:sz="0" w:space="0" w:color="auto"/>
        <w:left w:val="none" w:sz="0" w:space="0" w:color="auto"/>
        <w:bottom w:val="none" w:sz="0" w:space="0" w:color="auto"/>
        <w:right w:val="none" w:sz="0" w:space="0" w:color="auto"/>
      </w:divBdr>
    </w:div>
    <w:div w:id="86850373">
      <w:bodyDiv w:val="1"/>
      <w:marLeft w:val="0"/>
      <w:marRight w:val="0"/>
      <w:marTop w:val="0"/>
      <w:marBottom w:val="0"/>
      <w:divBdr>
        <w:top w:val="none" w:sz="0" w:space="0" w:color="auto"/>
        <w:left w:val="none" w:sz="0" w:space="0" w:color="auto"/>
        <w:bottom w:val="none" w:sz="0" w:space="0" w:color="auto"/>
        <w:right w:val="none" w:sz="0" w:space="0" w:color="auto"/>
      </w:divBdr>
    </w:div>
    <w:div w:id="90443644">
      <w:bodyDiv w:val="1"/>
      <w:marLeft w:val="0"/>
      <w:marRight w:val="0"/>
      <w:marTop w:val="0"/>
      <w:marBottom w:val="0"/>
      <w:divBdr>
        <w:top w:val="none" w:sz="0" w:space="0" w:color="auto"/>
        <w:left w:val="none" w:sz="0" w:space="0" w:color="auto"/>
        <w:bottom w:val="none" w:sz="0" w:space="0" w:color="auto"/>
        <w:right w:val="none" w:sz="0" w:space="0" w:color="auto"/>
      </w:divBdr>
    </w:div>
    <w:div w:id="92676687">
      <w:bodyDiv w:val="1"/>
      <w:marLeft w:val="0"/>
      <w:marRight w:val="0"/>
      <w:marTop w:val="0"/>
      <w:marBottom w:val="0"/>
      <w:divBdr>
        <w:top w:val="none" w:sz="0" w:space="0" w:color="auto"/>
        <w:left w:val="none" w:sz="0" w:space="0" w:color="auto"/>
        <w:bottom w:val="none" w:sz="0" w:space="0" w:color="auto"/>
        <w:right w:val="none" w:sz="0" w:space="0" w:color="auto"/>
      </w:divBdr>
    </w:div>
    <w:div w:id="95100459">
      <w:bodyDiv w:val="1"/>
      <w:marLeft w:val="0"/>
      <w:marRight w:val="0"/>
      <w:marTop w:val="0"/>
      <w:marBottom w:val="0"/>
      <w:divBdr>
        <w:top w:val="none" w:sz="0" w:space="0" w:color="auto"/>
        <w:left w:val="none" w:sz="0" w:space="0" w:color="auto"/>
        <w:bottom w:val="none" w:sz="0" w:space="0" w:color="auto"/>
        <w:right w:val="none" w:sz="0" w:space="0" w:color="auto"/>
      </w:divBdr>
    </w:div>
    <w:div w:id="96341083">
      <w:bodyDiv w:val="1"/>
      <w:marLeft w:val="0"/>
      <w:marRight w:val="0"/>
      <w:marTop w:val="0"/>
      <w:marBottom w:val="0"/>
      <w:divBdr>
        <w:top w:val="none" w:sz="0" w:space="0" w:color="auto"/>
        <w:left w:val="none" w:sz="0" w:space="0" w:color="auto"/>
        <w:bottom w:val="none" w:sz="0" w:space="0" w:color="auto"/>
        <w:right w:val="none" w:sz="0" w:space="0" w:color="auto"/>
      </w:divBdr>
    </w:div>
    <w:div w:id="97458232">
      <w:bodyDiv w:val="1"/>
      <w:marLeft w:val="0"/>
      <w:marRight w:val="0"/>
      <w:marTop w:val="0"/>
      <w:marBottom w:val="0"/>
      <w:divBdr>
        <w:top w:val="none" w:sz="0" w:space="0" w:color="auto"/>
        <w:left w:val="none" w:sz="0" w:space="0" w:color="auto"/>
        <w:bottom w:val="none" w:sz="0" w:space="0" w:color="auto"/>
        <w:right w:val="none" w:sz="0" w:space="0" w:color="auto"/>
      </w:divBdr>
    </w:div>
    <w:div w:id="100881684">
      <w:bodyDiv w:val="1"/>
      <w:marLeft w:val="0"/>
      <w:marRight w:val="0"/>
      <w:marTop w:val="0"/>
      <w:marBottom w:val="0"/>
      <w:divBdr>
        <w:top w:val="none" w:sz="0" w:space="0" w:color="auto"/>
        <w:left w:val="none" w:sz="0" w:space="0" w:color="auto"/>
        <w:bottom w:val="none" w:sz="0" w:space="0" w:color="auto"/>
        <w:right w:val="none" w:sz="0" w:space="0" w:color="auto"/>
      </w:divBdr>
    </w:div>
    <w:div w:id="102043378">
      <w:bodyDiv w:val="1"/>
      <w:marLeft w:val="0"/>
      <w:marRight w:val="0"/>
      <w:marTop w:val="0"/>
      <w:marBottom w:val="0"/>
      <w:divBdr>
        <w:top w:val="none" w:sz="0" w:space="0" w:color="auto"/>
        <w:left w:val="none" w:sz="0" w:space="0" w:color="auto"/>
        <w:bottom w:val="none" w:sz="0" w:space="0" w:color="auto"/>
        <w:right w:val="none" w:sz="0" w:space="0" w:color="auto"/>
      </w:divBdr>
    </w:div>
    <w:div w:id="110826367">
      <w:bodyDiv w:val="1"/>
      <w:marLeft w:val="0"/>
      <w:marRight w:val="0"/>
      <w:marTop w:val="0"/>
      <w:marBottom w:val="0"/>
      <w:divBdr>
        <w:top w:val="none" w:sz="0" w:space="0" w:color="auto"/>
        <w:left w:val="none" w:sz="0" w:space="0" w:color="auto"/>
        <w:bottom w:val="none" w:sz="0" w:space="0" w:color="auto"/>
        <w:right w:val="none" w:sz="0" w:space="0" w:color="auto"/>
      </w:divBdr>
    </w:div>
    <w:div w:id="112948613">
      <w:bodyDiv w:val="1"/>
      <w:marLeft w:val="0"/>
      <w:marRight w:val="0"/>
      <w:marTop w:val="0"/>
      <w:marBottom w:val="0"/>
      <w:divBdr>
        <w:top w:val="none" w:sz="0" w:space="0" w:color="auto"/>
        <w:left w:val="none" w:sz="0" w:space="0" w:color="auto"/>
        <w:bottom w:val="none" w:sz="0" w:space="0" w:color="auto"/>
        <w:right w:val="none" w:sz="0" w:space="0" w:color="auto"/>
      </w:divBdr>
    </w:div>
    <w:div w:id="116343204">
      <w:bodyDiv w:val="1"/>
      <w:marLeft w:val="0"/>
      <w:marRight w:val="0"/>
      <w:marTop w:val="0"/>
      <w:marBottom w:val="0"/>
      <w:divBdr>
        <w:top w:val="none" w:sz="0" w:space="0" w:color="auto"/>
        <w:left w:val="none" w:sz="0" w:space="0" w:color="auto"/>
        <w:bottom w:val="none" w:sz="0" w:space="0" w:color="auto"/>
        <w:right w:val="none" w:sz="0" w:space="0" w:color="auto"/>
      </w:divBdr>
    </w:div>
    <w:div w:id="116801666">
      <w:bodyDiv w:val="1"/>
      <w:marLeft w:val="0"/>
      <w:marRight w:val="0"/>
      <w:marTop w:val="0"/>
      <w:marBottom w:val="0"/>
      <w:divBdr>
        <w:top w:val="none" w:sz="0" w:space="0" w:color="auto"/>
        <w:left w:val="none" w:sz="0" w:space="0" w:color="auto"/>
        <w:bottom w:val="none" w:sz="0" w:space="0" w:color="auto"/>
        <w:right w:val="none" w:sz="0" w:space="0" w:color="auto"/>
      </w:divBdr>
    </w:div>
    <w:div w:id="117069978">
      <w:bodyDiv w:val="1"/>
      <w:marLeft w:val="0"/>
      <w:marRight w:val="0"/>
      <w:marTop w:val="0"/>
      <w:marBottom w:val="0"/>
      <w:divBdr>
        <w:top w:val="none" w:sz="0" w:space="0" w:color="auto"/>
        <w:left w:val="none" w:sz="0" w:space="0" w:color="auto"/>
        <w:bottom w:val="none" w:sz="0" w:space="0" w:color="auto"/>
        <w:right w:val="none" w:sz="0" w:space="0" w:color="auto"/>
      </w:divBdr>
    </w:div>
    <w:div w:id="125664889">
      <w:bodyDiv w:val="1"/>
      <w:marLeft w:val="0"/>
      <w:marRight w:val="0"/>
      <w:marTop w:val="0"/>
      <w:marBottom w:val="0"/>
      <w:divBdr>
        <w:top w:val="none" w:sz="0" w:space="0" w:color="auto"/>
        <w:left w:val="none" w:sz="0" w:space="0" w:color="auto"/>
        <w:bottom w:val="none" w:sz="0" w:space="0" w:color="auto"/>
        <w:right w:val="none" w:sz="0" w:space="0" w:color="auto"/>
      </w:divBdr>
    </w:div>
    <w:div w:id="125702187">
      <w:bodyDiv w:val="1"/>
      <w:marLeft w:val="0"/>
      <w:marRight w:val="0"/>
      <w:marTop w:val="0"/>
      <w:marBottom w:val="0"/>
      <w:divBdr>
        <w:top w:val="none" w:sz="0" w:space="0" w:color="auto"/>
        <w:left w:val="none" w:sz="0" w:space="0" w:color="auto"/>
        <w:bottom w:val="none" w:sz="0" w:space="0" w:color="auto"/>
        <w:right w:val="none" w:sz="0" w:space="0" w:color="auto"/>
      </w:divBdr>
    </w:div>
    <w:div w:id="127625381">
      <w:bodyDiv w:val="1"/>
      <w:marLeft w:val="0"/>
      <w:marRight w:val="0"/>
      <w:marTop w:val="0"/>
      <w:marBottom w:val="0"/>
      <w:divBdr>
        <w:top w:val="none" w:sz="0" w:space="0" w:color="auto"/>
        <w:left w:val="none" w:sz="0" w:space="0" w:color="auto"/>
        <w:bottom w:val="none" w:sz="0" w:space="0" w:color="auto"/>
        <w:right w:val="none" w:sz="0" w:space="0" w:color="auto"/>
      </w:divBdr>
    </w:div>
    <w:div w:id="135493107">
      <w:bodyDiv w:val="1"/>
      <w:marLeft w:val="0"/>
      <w:marRight w:val="0"/>
      <w:marTop w:val="0"/>
      <w:marBottom w:val="0"/>
      <w:divBdr>
        <w:top w:val="none" w:sz="0" w:space="0" w:color="auto"/>
        <w:left w:val="none" w:sz="0" w:space="0" w:color="auto"/>
        <w:bottom w:val="none" w:sz="0" w:space="0" w:color="auto"/>
        <w:right w:val="none" w:sz="0" w:space="0" w:color="auto"/>
      </w:divBdr>
    </w:div>
    <w:div w:id="137455415">
      <w:bodyDiv w:val="1"/>
      <w:marLeft w:val="0"/>
      <w:marRight w:val="0"/>
      <w:marTop w:val="0"/>
      <w:marBottom w:val="0"/>
      <w:divBdr>
        <w:top w:val="none" w:sz="0" w:space="0" w:color="auto"/>
        <w:left w:val="none" w:sz="0" w:space="0" w:color="auto"/>
        <w:bottom w:val="none" w:sz="0" w:space="0" w:color="auto"/>
        <w:right w:val="none" w:sz="0" w:space="0" w:color="auto"/>
      </w:divBdr>
    </w:div>
    <w:div w:id="138305737">
      <w:bodyDiv w:val="1"/>
      <w:marLeft w:val="0"/>
      <w:marRight w:val="0"/>
      <w:marTop w:val="0"/>
      <w:marBottom w:val="0"/>
      <w:divBdr>
        <w:top w:val="none" w:sz="0" w:space="0" w:color="auto"/>
        <w:left w:val="none" w:sz="0" w:space="0" w:color="auto"/>
        <w:bottom w:val="none" w:sz="0" w:space="0" w:color="auto"/>
        <w:right w:val="none" w:sz="0" w:space="0" w:color="auto"/>
      </w:divBdr>
    </w:div>
    <w:div w:id="139539858">
      <w:bodyDiv w:val="1"/>
      <w:marLeft w:val="0"/>
      <w:marRight w:val="0"/>
      <w:marTop w:val="0"/>
      <w:marBottom w:val="0"/>
      <w:divBdr>
        <w:top w:val="none" w:sz="0" w:space="0" w:color="auto"/>
        <w:left w:val="none" w:sz="0" w:space="0" w:color="auto"/>
        <w:bottom w:val="none" w:sz="0" w:space="0" w:color="auto"/>
        <w:right w:val="none" w:sz="0" w:space="0" w:color="auto"/>
      </w:divBdr>
    </w:div>
    <w:div w:id="141391194">
      <w:bodyDiv w:val="1"/>
      <w:marLeft w:val="0"/>
      <w:marRight w:val="0"/>
      <w:marTop w:val="0"/>
      <w:marBottom w:val="0"/>
      <w:divBdr>
        <w:top w:val="none" w:sz="0" w:space="0" w:color="auto"/>
        <w:left w:val="none" w:sz="0" w:space="0" w:color="auto"/>
        <w:bottom w:val="none" w:sz="0" w:space="0" w:color="auto"/>
        <w:right w:val="none" w:sz="0" w:space="0" w:color="auto"/>
      </w:divBdr>
    </w:div>
    <w:div w:id="143817115">
      <w:bodyDiv w:val="1"/>
      <w:marLeft w:val="0"/>
      <w:marRight w:val="0"/>
      <w:marTop w:val="0"/>
      <w:marBottom w:val="0"/>
      <w:divBdr>
        <w:top w:val="none" w:sz="0" w:space="0" w:color="auto"/>
        <w:left w:val="none" w:sz="0" w:space="0" w:color="auto"/>
        <w:bottom w:val="none" w:sz="0" w:space="0" w:color="auto"/>
        <w:right w:val="none" w:sz="0" w:space="0" w:color="auto"/>
      </w:divBdr>
    </w:div>
    <w:div w:id="145366855">
      <w:bodyDiv w:val="1"/>
      <w:marLeft w:val="0"/>
      <w:marRight w:val="0"/>
      <w:marTop w:val="0"/>
      <w:marBottom w:val="0"/>
      <w:divBdr>
        <w:top w:val="none" w:sz="0" w:space="0" w:color="auto"/>
        <w:left w:val="none" w:sz="0" w:space="0" w:color="auto"/>
        <w:bottom w:val="none" w:sz="0" w:space="0" w:color="auto"/>
        <w:right w:val="none" w:sz="0" w:space="0" w:color="auto"/>
      </w:divBdr>
    </w:div>
    <w:div w:id="145367018">
      <w:bodyDiv w:val="1"/>
      <w:marLeft w:val="0"/>
      <w:marRight w:val="0"/>
      <w:marTop w:val="0"/>
      <w:marBottom w:val="0"/>
      <w:divBdr>
        <w:top w:val="none" w:sz="0" w:space="0" w:color="auto"/>
        <w:left w:val="none" w:sz="0" w:space="0" w:color="auto"/>
        <w:bottom w:val="none" w:sz="0" w:space="0" w:color="auto"/>
        <w:right w:val="none" w:sz="0" w:space="0" w:color="auto"/>
      </w:divBdr>
    </w:div>
    <w:div w:id="152796526">
      <w:bodyDiv w:val="1"/>
      <w:marLeft w:val="0"/>
      <w:marRight w:val="0"/>
      <w:marTop w:val="0"/>
      <w:marBottom w:val="0"/>
      <w:divBdr>
        <w:top w:val="none" w:sz="0" w:space="0" w:color="auto"/>
        <w:left w:val="none" w:sz="0" w:space="0" w:color="auto"/>
        <w:bottom w:val="none" w:sz="0" w:space="0" w:color="auto"/>
        <w:right w:val="none" w:sz="0" w:space="0" w:color="auto"/>
      </w:divBdr>
    </w:div>
    <w:div w:id="154690418">
      <w:bodyDiv w:val="1"/>
      <w:marLeft w:val="0"/>
      <w:marRight w:val="0"/>
      <w:marTop w:val="0"/>
      <w:marBottom w:val="0"/>
      <w:divBdr>
        <w:top w:val="none" w:sz="0" w:space="0" w:color="auto"/>
        <w:left w:val="none" w:sz="0" w:space="0" w:color="auto"/>
        <w:bottom w:val="none" w:sz="0" w:space="0" w:color="auto"/>
        <w:right w:val="none" w:sz="0" w:space="0" w:color="auto"/>
      </w:divBdr>
    </w:div>
    <w:div w:id="163905803">
      <w:bodyDiv w:val="1"/>
      <w:marLeft w:val="0"/>
      <w:marRight w:val="0"/>
      <w:marTop w:val="0"/>
      <w:marBottom w:val="0"/>
      <w:divBdr>
        <w:top w:val="none" w:sz="0" w:space="0" w:color="auto"/>
        <w:left w:val="none" w:sz="0" w:space="0" w:color="auto"/>
        <w:bottom w:val="none" w:sz="0" w:space="0" w:color="auto"/>
        <w:right w:val="none" w:sz="0" w:space="0" w:color="auto"/>
      </w:divBdr>
    </w:div>
    <w:div w:id="164168228">
      <w:bodyDiv w:val="1"/>
      <w:marLeft w:val="0"/>
      <w:marRight w:val="0"/>
      <w:marTop w:val="0"/>
      <w:marBottom w:val="0"/>
      <w:divBdr>
        <w:top w:val="none" w:sz="0" w:space="0" w:color="auto"/>
        <w:left w:val="none" w:sz="0" w:space="0" w:color="auto"/>
        <w:bottom w:val="none" w:sz="0" w:space="0" w:color="auto"/>
        <w:right w:val="none" w:sz="0" w:space="0" w:color="auto"/>
      </w:divBdr>
    </w:div>
    <w:div w:id="170877163">
      <w:bodyDiv w:val="1"/>
      <w:marLeft w:val="0"/>
      <w:marRight w:val="0"/>
      <w:marTop w:val="0"/>
      <w:marBottom w:val="0"/>
      <w:divBdr>
        <w:top w:val="none" w:sz="0" w:space="0" w:color="auto"/>
        <w:left w:val="none" w:sz="0" w:space="0" w:color="auto"/>
        <w:bottom w:val="none" w:sz="0" w:space="0" w:color="auto"/>
        <w:right w:val="none" w:sz="0" w:space="0" w:color="auto"/>
      </w:divBdr>
    </w:div>
    <w:div w:id="173424833">
      <w:bodyDiv w:val="1"/>
      <w:marLeft w:val="0"/>
      <w:marRight w:val="0"/>
      <w:marTop w:val="0"/>
      <w:marBottom w:val="0"/>
      <w:divBdr>
        <w:top w:val="none" w:sz="0" w:space="0" w:color="auto"/>
        <w:left w:val="none" w:sz="0" w:space="0" w:color="auto"/>
        <w:bottom w:val="none" w:sz="0" w:space="0" w:color="auto"/>
        <w:right w:val="none" w:sz="0" w:space="0" w:color="auto"/>
      </w:divBdr>
    </w:div>
    <w:div w:id="173497533">
      <w:bodyDiv w:val="1"/>
      <w:marLeft w:val="0"/>
      <w:marRight w:val="0"/>
      <w:marTop w:val="0"/>
      <w:marBottom w:val="0"/>
      <w:divBdr>
        <w:top w:val="none" w:sz="0" w:space="0" w:color="auto"/>
        <w:left w:val="none" w:sz="0" w:space="0" w:color="auto"/>
        <w:bottom w:val="none" w:sz="0" w:space="0" w:color="auto"/>
        <w:right w:val="none" w:sz="0" w:space="0" w:color="auto"/>
      </w:divBdr>
    </w:div>
    <w:div w:id="174151883">
      <w:bodyDiv w:val="1"/>
      <w:marLeft w:val="0"/>
      <w:marRight w:val="0"/>
      <w:marTop w:val="0"/>
      <w:marBottom w:val="0"/>
      <w:divBdr>
        <w:top w:val="none" w:sz="0" w:space="0" w:color="auto"/>
        <w:left w:val="none" w:sz="0" w:space="0" w:color="auto"/>
        <w:bottom w:val="none" w:sz="0" w:space="0" w:color="auto"/>
        <w:right w:val="none" w:sz="0" w:space="0" w:color="auto"/>
      </w:divBdr>
    </w:div>
    <w:div w:id="174925692">
      <w:bodyDiv w:val="1"/>
      <w:marLeft w:val="0"/>
      <w:marRight w:val="0"/>
      <w:marTop w:val="0"/>
      <w:marBottom w:val="0"/>
      <w:divBdr>
        <w:top w:val="none" w:sz="0" w:space="0" w:color="auto"/>
        <w:left w:val="none" w:sz="0" w:space="0" w:color="auto"/>
        <w:bottom w:val="none" w:sz="0" w:space="0" w:color="auto"/>
        <w:right w:val="none" w:sz="0" w:space="0" w:color="auto"/>
      </w:divBdr>
    </w:div>
    <w:div w:id="177737692">
      <w:bodyDiv w:val="1"/>
      <w:marLeft w:val="0"/>
      <w:marRight w:val="0"/>
      <w:marTop w:val="0"/>
      <w:marBottom w:val="0"/>
      <w:divBdr>
        <w:top w:val="none" w:sz="0" w:space="0" w:color="auto"/>
        <w:left w:val="none" w:sz="0" w:space="0" w:color="auto"/>
        <w:bottom w:val="none" w:sz="0" w:space="0" w:color="auto"/>
        <w:right w:val="none" w:sz="0" w:space="0" w:color="auto"/>
      </w:divBdr>
    </w:div>
    <w:div w:id="180241030">
      <w:bodyDiv w:val="1"/>
      <w:marLeft w:val="0"/>
      <w:marRight w:val="0"/>
      <w:marTop w:val="0"/>
      <w:marBottom w:val="0"/>
      <w:divBdr>
        <w:top w:val="none" w:sz="0" w:space="0" w:color="auto"/>
        <w:left w:val="none" w:sz="0" w:space="0" w:color="auto"/>
        <w:bottom w:val="none" w:sz="0" w:space="0" w:color="auto"/>
        <w:right w:val="none" w:sz="0" w:space="0" w:color="auto"/>
      </w:divBdr>
    </w:div>
    <w:div w:id="181672583">
      <w:bodyDiv w:val="1"/>
      <w:marLeft w:val="0"/>
      <w:marRight w:val="0"/>
      <w:marTop w:val="0"/>
      <w:marBottom w:val="0"/>
      <w:divBdr>
        <w:top w:val="none" w:sz="0" w:space="0" w:color="auto"/>
        <w:left w:val="none" w:sz="0" w:space="0" w:color="auto"/>
        <w:bottom w:val="none" w:sz="0" w:space="0" w:color="auto"/>
        <w:right w:val="none" w:sz="0" w:space="0" w:color="auto"/>
      </w:divBdr>
    </w:div>
    <w:div w:id="183131911">
      <w:bodyDiv w:val="1"/>
      <w:marLeft w:val="0"/>
      <w:marRight w:val="0"/>
      <w:marTop w:val="0"/>
      <w:marBottom w:val="0"/>
      <w:divBdr>
        <w:top w:val="none" w:sz="0" w:space="0" w:color="auto"/>
        <w:left w:val="none" w:sz="0" w:space="0" w:color="auto"/>
        <w:bottom w:val="none" w:sz="0" w:space="0" w:color="auto"/>
        <w:right w:val="none" w:sz="0" w:space="0" w:color="auto"/>
      </w:divBdr>
    </w:div>
    <w:div w:id="185291221">
      <w:bodyDiv w:val="1"/>
      <w:marLeft w:val="0"/>
      <w:marRight w:val="0"/>
      <w:marTop w:val="0"/>
      <w:marBottom w:val="0"/>
      <w:divBdr>
        <w:top w:val="none" w:sz="0" w:space="0" w:color="auto"/>
        <w:left w:val="none" w:sz="0" w:space="0" w:color="auto"/>
        <w:bottom w:val="none" w:sz="0" w:space="0" w:color="auto"/>
        <w:right w:val="none" w:sz="0" w:space="0" w:color="auto"/>
      </w:divBdr>
    </w:div>
    <w:div w:id="191189137">
      <w:bodyDiv w:val="1"/>
      <w:marLeft w:val="0"/>
      <w:marRight w:val="0"/>
      <w:marTop w:val="0"/>
      <w:marBottom w:val="0"/>
      <w:divBdr>
        <w:top w:val="none" w:sz="0" w:space="0" w:color="auto"/>
        <w:left w:val="none" w:sz="0" w:space="0" w:color="auto"/>
        <w:bottom w:val="none" w:sz="0" w:space="0" w:color="auto"/>
        <w:right w:val="none" w:sz="0" w:space="0" w:color="auto"/>
      </w:divBdr>
    </w:div>
    <w:div w:id="199055346">
      <w:bodyDiv w:val="1"/>
      <w:marLeft w:val="0"/>
      <w:marRight w:val="0"/>
      <w:marTop w:val="0"/>
      <w:marBottom w:val="0"/>
      <w:divBdr>
        <w:top w:val="none" w:sz="0" w:space="0" w:color="auto"/>
        <w:left w:val="none" w:sz="0" w:space="0" w:color="auto"/>
        <w:bottom w:val="none" w:sz="0" w:space="0" w:color="auto"/>
        <w:right w:val="none" w:sz="0" w:space="0" w:color="auto"/>
      </w:divBdr>
    </w:div>
    <w:div w:id="200823094">
      <w:bodyDiv w:val="1"/>
      <w:marLeft w:val="0"/>
      <w:marRight w:val="0"/>
      <w:marTop w:val="0"/>
      <w:marBottom w:val="0"/>
      <w:divBdr>
        <w:top w:val="none" w:sz="0" w:space="0" w:color="auto"/>
        <w:left w:val="none" w:sz="0" w:space="0" w:color="auto"/>
        <w:bottom w:val="none" w:sz="0" w:space="0" w:color="auto"/>
        <w:right w:val="none" w:sz="0" w:space="0" w:color="auto"/>
      </w:divBdr>
    </w:div>
    <w:div w:id="205337871">
      <w:bodyDiv w:val="1"/>
      <w:marLeft w:val="0"/>
      <w:marRight w:val="0"/>
      <w:marTop w:val="0"/>
      <w:marBottom w:val="0"/>
      <w:divBdr>
        <w:top w:val="none" w:sz="0" w:space="0" w:color="auto"/>
        <w:left w:val="none" w:sz="0" w:space="0" w:color="auto"/>
        <w:bottom w:val="none" w:sz="0" w:space="0" w:color="auto"/>
        <w:right w:val="none" w:sz="0" w:space="0" w:color="auto"/>
      </w:divBdr>
    </w:div>
    <w:div w:id="214703904">
      <w:bodyDiv w:val="1"/>
      <w:marLeft w:val="0"/>
      <w:marRight w:val="0"/>
      <w:marTop w:val="0"/>
      <w:marBottom w:val="0"/>
      <w:divBdr>
        <w:top w:val="none" w:sz="0" w:space="0" w:color="auto"/>
        <w:left w:val="none" w:sz="0" w:space="0" w:color="auto"/>
        <w:bottom w:val="none" w:sz="0" w:space="0" w:color="auto"/>
        <w:right w:val="none" w:sz="0" w:space="0" w:color="auto"/>
      </w:divBdr>
    </w:div>
    <w:div w:id="216476053">
      <w:bodyDiv w:val="1"/>
      <w:marLeft w:val="0"/>
      <w:marRight w:val="0"/>
      <w:marTop w:val="0"/>
      <w:marBottom w:val="0"/>
      <w:divBdr>
        <w:top w:val="none" w:sz="0" w:space="0" w:color="auto"/>
        <w:left w:val="none" w:sz="0" w:space="0" w:color="auto"/>
        <w:bottom w:val="none" w:sz="0" w:space="0" w:color="auto"/>
        <w:right w:val="none" w:sz="0" w:space="0" w:color="auto"/>
      </w:divBdr>
    </w:div>
    <w:div w:id="216742560">
      <w:bodyDiv w:val="1"/>
      <w:marLeft w:val="0"/>
      <w:marRight w:val="0"/>
      <w:marTop w:val="0"/>
      <w:marBottom w:val="0"/>
      <w:divBdr>
        <w:top w:val="none" w:sz="0" w:space="0" w:color="auto"/>
        <w:left w:val="none" w:sz="0" w:space="0" w:color="auto"/>
        <w:bottom w:val="none" w:sz="0" w:space="0" w:color="auto"/>
        <w:right w:val="none" w:sz="0" w:space="0" w:color="auto"/>
      </w:divBdr>
    </w:div>
    <w:div w:id="218136069">
      <w:bodyDiv w:val="1"/>
      <w:marLeft w:val="0"/>
      <w:marRight w:val="0"/>
      <w:marTop w:val="0"/>
      <w:marBottom w:val="0"/>
      <w:divBdr>
        <w:top w:val="none" w:sz="0" w:space="0" w:color="auto"/>
        <w:left w:val="none" w:sz="0" w:space="0" w:color="auto"/>
        <w:bottom w:val="none" w:sz="0" w:space="0" w:color="auto"/>
        <w:right w:val="none" w:sz="0" w:space="0" w:color="auto"/>
      </w:divBdr>
    </w:div>
    <w:div w:id="222183521">
      <w:bodyDiv w:val="1"/>
      <w:marLeft w:val="0"/>
      <w:marRight w:val="0"/>
      <w:marTop w:val="0"/>
      <w:marBottom w:val="0"/>
      <w:divBdr>
        <w:top w:val="none" w:sz="0" w:space="0" w:color="auto"/>
        <w:left w:val="none" w:sz="0" w:space="0" w:color="auto"/>
        <w:bottom w:val="none" w:sz="0" w:space="0" w:color="auto"/>
        <w:right w:val="none" w:sz="0" w:space="0" w:color="auto"/>
      </w:divBdr>
    </w:div>
    <w:div w:id="223564017">
      <w:bodyDiv w:val="1"/>
      <w:marLeft w:val="0"/>
      <w:marRight w:val="0"/>
      <w:marTop w:val="0"/>
      <w:marBottom w:val="0"/>
      <w:divBdr>
        <w:top w:val="none" w:sz="0" w:space="0" w:color="auto"/>
        <w:left w:val="none" w:sz="0" w:space="0" w:color="auto"/>
        <w:bottom w:val="none" w:sz="0" w:space="0" w:color="auto"/>
        <w:right w:val="none" w:sz="0" w:space="0" w:color="auto"/>
      </w:divBdr>
    </w:div>
    <w:div w:id="229537510">
      <w:bodyDiv w:val="1"/>
      <w:marLeft w:val="0"/>
      <w:marRight w:val="0"/>
      <w:marTop w:val="0"/>
      <w:marBottom w:val="0"/>
      <w:divBdr>
        <w:top w:val="none" w:sz="0" w:space="0" w:color="auto"/>
        <w:left w:val="none" w:sz="0" w:space="0" w:color="auto"/>
        <w:bottom w:val="none" w:sz="0" w:space="0" w:color="auto"/>
        <w:right w:val="none" w:sz="0" w:space="0" w:color="auto"/>
      </w:divBdr>
    </w:div>
    <w:div w:id="230779088">
      <w:bodyDiv w:val="1"/>
      <w:marLeft w:val="0"/>
      <w:marRight w:val="0"/>
      <w:marTop w:val="0"/>
      <w:marBottom w:val="0"/>
      <w:divBdr>
        <w:top w:val="none" w:sz="0" w:space="0" w:color="auto"/>
        <w:left w:val="none" w:sz="0" w:space="0" w:color="auto"/>
        <w:bottom w:val="none" w:sz="0" w:space="0" w:color="auto"/>
        <w:right w:val="none" w:sz="0" w:space="0" w:color="auto"/>
      </w:divBdr>
    </w:div>
    <w:div w:id="246766752">
      <w:bodyDiv w:val="1"/>
      <w:marLeft w:val="0"/>
      <w:marRight w:val="0"/>
      <w:marTop w:val="0"/>
      <w:marBottom w:val="0"/>
      <w:divBdr>
        <w:top w:val="none" w:sz="0" w:space="0" w:color="auto"/>
        <w:left w:val="none" w:sz="0" w:space="0" w:color="auto"/>
        <w:bottom w:val="none" w:sz="0" w:space="0" w:color="auto"/>
        <w:right w:val="none" w:sz="0" w:space="0" w:color="auto"/>
      </w:divBdr>
    </w:div>
    <w:div w:id="250937697">
      <w:bodyDiv w:val="1"/>
      <w:marLeft w:val="0"/>
      <w:marRight w:val="0"/>
      <w:marTop w:val="0"/>
      <w:marBottom w:val="0"/>
      <w:divBdr>
        <w:top w:val="none" w:sz="0" w:space="0" w:color="auto"/>
        <w:left w:val="none" w:sz="0" w:space="0" w:color="auto"/>
        <w:bottom w:val="none" w:sz="0" w:space="0" w:color="auto"/>
        <w:right w:val="none" w:sz="0" w:space="0" w:color="auto"/>
      </w:divBdr>
    </w:div>
    <w:div w:id="253516106">
      <w:bodyDiv w:val="1"/>
      <w:marLeft w:val="0"/>
      <w:marRight w:val="0"/>
      <w:marTop w:val="0"/>
      <w:marBottom w:val="0"/>
      <w:divBdr>
        <w:top w:val="none" w:sz="0" w:space="0" w:color="auto"/>
        <w:left w:val="none" w:sz="0" w:space="0" w:color="auto"/>
        <w:bottom w:val="none" w:sz="0" w:space="0" w:color="auto"/>
        <w:right w:val="none" w:sz="0" w:space="0" w:color="auto"/>
      </w:divBdr>
    </w:div>
    <w:div w:id="258684468">
      <w:bodyDiv w:val="1"/>
      <w:marLeft w:val="0"/>
      <w:marRight w:val="0"/>
      <w:marTop w:val="0"/>
      <w:marBottom w:val="0"/>
      <w:divBdr>
        <w:top w:val="none" w:sz="0" w:space="0" w:color="auto"/>
        <w:left w:val="none" w:sz="0" w:space="0" w:color="auto"/>
        <w:bottom w:val="none" w:sz="0" w:space="0" w:color="auto"/>
        <w:right w:val="none" w:sz="0" w:space="0" w:color="auto"/>
      </w:divBdr>
    </w:div>
    <w:div w:id="262416438">
      <w:bodyDiv w:val="1"/>
      <w:marLeft w:val="0"/>
      <w:marRight w:val="0"/>
      <w:marTop w:val="0"/>
      <w:marBottom w:val="0"/>
      <w:divBdr>
        <w:top w:val="none" w:sz="0" w:space="0" w:color="auto"/>
        <w:left w:val="none" w:sz="0" w:space="0" w:color="auto"/>
        <w:bottom w:val="none" w:sz="0" w:space="0" w:color="auto"/>
        <w:right w:val="none" w:sz="0" w:space="0" w:color="auto"/>
      </w:divBdr>
    </w:div>
    <w:div w:id="262879024">
      <w:bodyDiv w:val="1"/>
      <w:marLeft w:val="0"/>
      <w:marRight w:val="0"/>
      <w:marTop w:val="0"/>
      <w:marBottom w:val="0"/>
      <w:divBdr>
        <w:top w:val="none" w:sz="0" w:space="0" w:color="auto"/>
        <w:left w:val="none" w:sz="0" w:space="0" w:color="auto"/>
        <w:bottom w:val="none" w:sz="0" w:space="0" w:color="auto"/>
        <w:right w:val="none" w:sz="0" w:space="0" w:color="auto"/>
      </w:divBdr>
    </w:div>
    <w:div w:id="268658076">
      <w:bodyDiv w:val="1"/>
      <w:marLeft w:val="0"/>
      <w:marRight w:val="0"/>
      <w:marTop w:val="0"/>
      <w:marBottom w:val="0"/>
      <w:divBdr>
        <w:top w:val="none" w:sz="0" w:space="0" w:color="auto"/>
        <w:left w:val="none" w:sz="0" w:space="0" w:color="auto"/>
        <w:bottom w:val="none" w:sz="0" w:space="0" w:color="auto"/>
        <w:right w:val="none" w:sz="0" w:space="0" w:color="auto"/>
      </w:divBdr>
    </w:div>
    <w:div w:id="268784730">
      <w:bodyDiv w:val="1"/>
      <w:marLeft w:val="0"/>
      <w:marRight w:val="0"/>
      <w:marTop w:val="0"/>
      <w:marBottom w:val="0"/>
      <w:divBdr>
        <w:top w:val="none" w:sz="0" w:space="0" w:color="auto"/>
        <w:left w:val="none" w:sz="0" w:space="0" w:color="auto"/>
        <w:bottom w:val="none" w:sz="0" w:space="0" w:color="auto"/>
        <w:right w:val="none" w:sz="0" w:space="0" w:color="auto"/>
      </w:divBdr>
    </w:div>
    <w:div w:id="270431638">
      <w:bodyDiv w:val="1"/>
      <w:marLeft w:val="0"/>
      <w:marRight w:val="0"/>
      <w:marTop w:val="0"/>
      <w:marBottom w:val="0"/>
      <w:divBdr>
        <w:top w:val="none" w:sz="0" w:space="0" w:color="auto"/>
        <w:left w:val="none" w:sz="0" w:space="0" w:color="auto"/>
        <w:bottom w:val="none" w:sz="0" w:space="0" w:color="auto"/>
        <w:right w:val="none" w:sz="0" w:space="0" w:color="auto"/>
      </w:divBdr>
    </w:div>
    <w:div w:id="278991382">
      <w:bodyDiv w:val="1"/>
      <w:marLeft w:val="0"/>
      <w:marRight w:val="0"/>
      <w:marTop w:val="0"/>
      <w:marBottom w:val="0"/>
      <w:divBdr>
        <w:top w:val="none" w:sz="0" w:space="0" w:color="auto"/>
        <w:left w:val="none" w:sz="0" w:space="0" w:color="auto"/>
        <w:bottom w:val="none" w:sz="0" w:space="0" w:color="auto"/>
        <w:right w:val="none" w:sz="0" w:space="0" w:color="auto"/>
      </w:divBdr>
    </w:div>
    <w:div w:id="280765162">
      <w:bodyDiv w:val="1"/>
      <w:marLeft w:val="0"/>
      <w:marRight w:val="0"/>
      <w:marTop w:val="0"/>
      <w:marBottom w:val="0"/>
      <w:divBdr>
        <w:top w:val="none" w:sz="0" w:space="0" w:color="auto"/>
        <w:left w:val="none" w:sz="0" w:space="0" w:color="auto"/>
        <w:bottom w:val="none" w:sz="0" w:space="0" w:color="auto"/>
        <w:right w:val="none" w:sz="0" w:space="0" w:color="auto"/>
      </w:divBdr>
    </w:div>
    <w:div w:id="286207892">
      <w:bodyDiv w:val="1"/>
      <w:marLeft w:val="0"/>
      <w:marRight w:val="0"/>
      <w:marTop w:val="0"/>
      <w:marBottom w:val="0"/>
      <w:divBdr>
        <w:top w:val="none" w:sz="0" w:space="0" w:color="auto"/>
        <w:left w:val="none" w:sz="0" w:space="0" w:color="auto"/>
        <w:bottom w:val="none" w:sz="0" w:space="0" w:color="auto"/>
        <w:right w:val="none" w:sz="0" w:space="0" w:color="auto"/>
      </w:divBdr>
    </w:div>
    <w:div w:id="287977631">
      <w:bodyDiv w:val="1"/>
      <w:marLeft w:val="0"/>
      <w:marRight w:val="0"/>
      <w:marTop w:val="0"/>
      <w:marBottom w:val="0"/>
      <w:divBdr>
        <w:top w:val="none" w:sz="0" w:space="0" w:color="auto"/>
        <w:left w:val="none" w:sz="0" w:space="0" w:color="auto"/>
        <w:bottom w:val="none" w:sz="0" w:space="0" w:color="auto"/>
        <w:right w:val="none" w:sz="0" w:space="0" w:color="auto"/>
      </w:divBdr>
    </w:div>
    <w:div w:id="299650701">
      <w:bodyDiv w:val="1"/>
      <w:marLeft w:val="0"/>
      <w:marRight w:val="0"/>
      <w:marTop w:val="0"/>
      <w:marBottom w:val="0"/>
      <w:divBdr>
        <w:top w:val="none" w:sz="0" w:space="0" w:color="auto"/>
        <w:left w:val="none" w:sz="0" w:space="0" w:color="auto"/>
        <w:bottom w:val="none" w:sz="0" w:space="0" w:color="auto"/>
        <w:right w:val="none" w:sz="0" w:space="0" w:color="auto"/>
      </w:divBdr>
    </w:div>
    <w:div w:id="321086948">
      <w:bodyDiv w:val="1"/>
      <w:marLeft w:val="0"/>
      <w:marRight w:val="0"/>
      <w:marTop w:val="0"/>
      <w:marBottom w:val="0"/>
      <w:divBdr>
        <w:top w:val="none" w:sz="0" w:space="0" w:color="auto"/>
        <w:left w:val="none" w:sz="0" w:space="0" w:color="auto"/>
        <w:bottom w:val="none" w:sz="0" w:space="0" w:color="auto"/>
        <w:right w:val="none" w:sz="0" w:space="0" w:color="auto"/>
      </w:divBdr>
    </w:div>
    <w:div w:id="323440859">
      <w:bodyDiv w:val="1"/>
      <w:marLeft w:val="0"/>
      <w:marRight w:val="0"/>
      <w:marTop w:val="0"/>
      <w:marBottom w:val="0"/>
      <w:divBdr>
        <w:top w:val="none" w:sz="0" w:space="0" w:color="auto"/>
        <w:left w:val="none" w:sz="0" w:space="0" w:color="auto"/>
        <w:bottom w:val="none" w:sz="0" w:space="0" w:color="auto"/>
        <w:right w:val="none" w:sz="0" w:space="0" w:color="auto"/>
      </w:divBdr>
    </w:div>
    <w:div w:id="324018622">
      <w:bodyDiv w:val="1"/>
      <w:marLeft w:val="0"/>
      <w:marRight w:val="0"/>
      <w:marTop w:val="0"/>
      <w:marBottom w:val="0"/>
      <w:divBdr>
        <w:top w:val="none" w:sz="0" w:space="0" w:color="auto"/>
        <w:left w:val="none" w:sz="0" w:space="0" w:color="auto"/>
        <w:bottom w:val="none" w:sz="0" w:space="0" w:color="auto"/>
        <w:right w:val="none" w:sz="0" w:space="0" w:color="auto"/>
      </w:divBdr>
    </w:div>
    <w:div w:id="328600700">
      <w:bodyDiv w:val="1"/>
      <w:marLeft w:val="0"/>
      <w:marRight w:val="0"/>
      <w:marTop w:val="0"/>
      <w:marBottom w:val="0"/>
      <w:divBdr>
        <w:top w:val="none" w:sz="0" w:space="0" w:color="auto"/>
        <w:left w:val="none" w:sz="0" w:space="0" w:color="auto"/>
        <w:bottom w:val="none" w:sz="0" w:space="0" w:color="auto"/>
        <w:right w:val="none" w:sz="0" w:space="0" w:color="auto"/>
      </w:divBdr>
    </w:div>
    <w:div w:id="335352497">
      <w:bodyDiv w:val="1"/>
      <w:marLeft w:val="0"/>
      <w:marRight w:val="0"/>
      <w:marTop w:val="0"/>
      <w:marBottom w:val="0"/>
      <w:divBdr>
        <w:top w:val="none" w:sz="0" w:space="0" w:color="auto"/>
        <w:left w:val="none" w:sz="0" w:space="0" w:color="auto"/>
        <w:bottom w:val="none" w:sz="0" w:space="0" w:color="auto"/>
        <w:right w:val="none" w:sz="0" w:space="0" w:color="auto"/>
      </w:divBdr>
    </w:div>
    <w:div w:id="339894359">
      <w:bodyDiv w:val="1"/>
      <w:marLeft w:val="0"/>
      <w:marRight w:val="0"/>
      <w:marTop w:val="0"/>
      <w:marBottom w:val="0"/>
      <w:divBdr>
        <w:top w:val="none" w:sz="0" w:space="0" w:color="auto"/>
        <w:left w:val="none" w:sz="0" w:space="0" w:color="auto"/>
        <w:bottom w:val="none" w:sz="0" w:space="0" w:color="auto"/>
        <w:right w:val="none" w:sz="0" w:space="0" w:color="auto"/>
      </w:divBdr>
    </w:div>
    <w:div w:id="340817067">
      <w:bodyDiv w:val="1"/>
      <w:marLeft w:val="0"/>
      <w:marRight w:val="0"/>
      <w:marTop w:val="0"/>
      <w:marBottom w:val="0"/>
      <w:divBdr>
        <w:top w:val="none" w:sz="0" w:space="0" w:color="auto"/>
        <w:left w:val="none" w:sz="0" w:space="0" w:color="auto"/>
        <w:bottom w:val="none" w:sz="0" w:space="0" w:color="auto"/>
        <w:right w:val="none" w:sz="0" w:space="0" w:color="auto"/>
      </w:divBdr>
    </w:div>
    <w:div w:id="353188849">
      <w:bodyDiv w:val="1"/>
      <w:marLeft w:val="0"/>
      <w:marRight w:val="0"/>
      <w:marTop w:val="0"/>
      <w:marBottom w:val="0"/>
      <w:divBdr>
        <w:top w:val="none" w:sz="0" w:space="0" w:color="auto"/>
        <w:left w:val="none" w:sz="0" w:space="0" w:color="auto"/>
        <w:bottom w:val="none" w:sz="0" w:space="0" w:color="auto"/>
        <w:right w:val="none" w:sz="0" w:space="0" w:color="auto"/>
      </w:divBdr>
    </w:div>
    <w:div w:id="355234954">
      <w:bodyDiv w:val="1"/>
      <w:marLeft w:val="0"/>
      <w:marRight w:val="0"/>
      <w:marTop w:val="0"/>
      <w:marBottom w:val="0"/>
      <w:divBdr>
        <w:top w:val="none" w:sz="0" w:space="0" w:color="auto"/>
        <w:left w:val="none" w:sz="0" w:space="0" w:color="auto"/>
        <w:bottom w:val="none" w:sz="0" w:space="0" w:color="auto"/>
        <w:right w:val="none" w:sz="0" w:space="0" w:color="auto"/>
      </w:divBdr>
    </w:div>
    <w:div w:id="363605274">
      <w:bodyDiv w:val="1"/>
      <w:marLeft w:val="0"/>
      <w:marRight w:val="0"/>
      <w:marTop w:val="0"/>
      <w:marBottom w:val="0"/>
      <w:divBdr>
        <w:top w:val="none" w:sz="0" w:space="0" w:color="auto"/>
        <w:left w:val="none" w:sz="0" w:space="0" w:color="auto"/>
        <w:bottom w:val="none" w:sz="0" w:space="0" w:color="auto"/>
        <w:right w:val="none" w:sz="0" w:space="0" w:color="auto"/>
      </w:divBdr>
    </w:div>
    <w:div w:id="364335206">
      <w:bodyDiv w:val="1"/>
      <w:marLeft w:val="0"/>
      <w:marRight w:val="0"/>
      <w:marTop w:val="0"/>
      <w:marBottom w:val="0"/>
      <w:divBdr>
        <w:top w:val="none" w:sz="0" w:space="0" w:color="auto"/>
        <w:left w:val="none" w:sz="0" w:space="0" w:color="auto"/>
        <w:bottom w:val="none" w:sz="0" w:space="0" w:color="auto"/>
        <w:right w:val="none" w:sz="0" w:space="0" w:color="auto"/>
      </w:divBdr>
    </w:div>
    <w:div w:id="373039828">
      <w:bodyDiv w:val="1"/>
      <w:marLeft w:val="0"/>
      <w:marRight w:val="0"/>
      <w:marTop w:val="0"/>
      <w:marBottom w:val="0"/>
      <w:divBdr>
        <w:top w:val="none" w:sz="0" w:space="0" w:color="auto"/>
        <w:left w:val="none" w:sz="0" w:space="0" w:color="auto"/>
        <w:bottom w:val="none" w:sz="0" w:space="0" w:color="auto"/>
        <w:right w:val="none" w:sz="0" w:space="0" w:color="auto"/>
      </w:divBdr>
    </w:div>
    <w:div w:id="374819638">
      <w:bodyDiv w:val="1"/>
      <w:marLeft w:val="0"/>
      <w:marRight w:val="0"/>
      <w:marTop w:val="0"/>
      <w:marBottom w:val="0"/>
      <w:divBdr>
        <w:top w:val="none" w:sz="0" w:space="0" w:color="auto"/>
        <w:left w:val="none" w:sz="0" w:space="0" w:color="auto"/>
        <w:bottom w:val="none" w:sz="0" w:space="0" w:color="auto"/>
        <w:right w:val="none" w:sz="0" w:space="0" w:color="auto"/>
      </w:divBdr>
    </w:div>
    <w:div w:id="376439784">
      <w:bodyDiv w:val="1"/>
      <w:marLeft w:val="0"/>
      <w:marRight w:val="0"/>
      <w:marTop w:val="0"/>
      <w:marBottom w:val="0"/>
      <w:divBdr>
        <w:top w:val="none" w:sz="0" w:space="0" w:color="auto"/>
        <w:left w:val="none" w:sz="0" w:space="0" w:color="auto"/>
        <w:bottom w:val="none" w:sz="0" w:space="0" w:color="auto"/>
        <w:right w:val="none" w:sz="0" w:space="0" w:color="auto"/>
      </w:divBdr>
    </w:div>
    <w:div w:id="381098818">
      <w:bodyDiv w:val="1"/>
      <w:marLeft w:val="0"/>
      <w:marRight w:val="0"/>
      <w:marTop w:val="0"/>
      <w:marBottom w:val="0"/>
      <w:divBdr>
        <w:top w:val="none" w:sz="0" w:space="0" w:color="auto"/>
        <w:left w:val="none" w:sz="0" w:space="0" w:color="auto"/>
        <w:bottom w:val="none" w:sz="0" w:space="0" w:color="auto"/>
        <w:right w:val="none" w:sz="0" w:space="0" w:color="auto"/>
      </w:divBdr>
    </w:div>
    <w:div w:id="383719157">
      <w:bodyDiv w:val="1"/>
      <w:marLeft w:val="0"/>
      <w:marRight w:val="0"/>
      <w:marTop w:val="0"/>
      <w:marBottom w:val="0"/>
      <w:divBdr>
        <w:top w:val="none" w:sz="0" w:space="0" w:color="auto"/>
        <w:left w:val="none" w:sz="0" w:space="0" w:color="auto"/>
        <w:bottom w:val="none" w:sz="0" w:space="0" w:color="auto"/>
        <w:right w:val="none" w:sz="0" w:space="0" w:color="auto"/>
      </w:divBdr>
    </w:div>
    <w:div w:id="384066544">
      <w:bodyDiv w:val="1"/>
      <w:marLeft w:val="0"/>
      <w:marRight w:val="0"/>
      <w:marTop w:val="0"/>
      <w:marBottom w:val="0"/>
      <w:divBdr>
        <w:top w:val="none" w:sz="0" w:space="0" w:color="auto"/>
        <w:left w:val="none" w:sz="0" w:space="0" w:color="auto"/>
        <w:bottom w:val="none" w:sz="0" w:space="0" w:color="auto"/>
        <w:right w:val="none" w:sz="0" w:space="0" w:color="auto"/>
      </w:divBdr>
    </w:div>
    <w:div w:id="388260754">
      <w:bodyDiv w:val="1"/>
      <w:marLeft w:val="0"/>
      <w:marRight w:val="0"/>
      <w:marTop w:val="0"/>
      <w:marBottom w:val="0"/>
      <w:divBdr>
        <w:top w:val="none" w:sz="0" w:space="0" w:color="auto"/>
        <w:left w:val="none" w:sz="0" w:space="0" w:color="auto"/>
        <w:bottom w:val="none" w:sz="0" w:space="0" w:color="auto"/>
        <w:right w:val="none" w:sz="0" w:space="0" w:color="auto"/>
      </w:divBdr>
    </w:div>
    <w:div w:id="388771607">
      <w:bodyDiv w:val="1"/>
      <w:marLeft w:val="0"/>
      <w:marRight w:val="0"/>
      <w:marTop w:val="0"/>
      <w:marBottom w:val="0"/>
      <w:divBdr>
        <w:top w:val="none" w:sz="0" w:space="0" w:color="auto"/>
        <w:left w:val="none" w:sz="0" w:space="0" w:color="auto"/>
        <w:bottom w:val="none" w:sz="0" w:space="0" w:color="auto"/>
        <w:right w:val="none" w:sz="0" w:space="0" w:color="auto"/>
      </w:divBdr>
    </w:div>
    <w:div w:id="388846314">
      <w:bodyDiv w:val="1"/>
      <w:marLeft w:val="0"/>
      <w:marRight w:val="0"/>
      <w:marTop w:val="0"/>
      <w:marBottom w:val="0"/>
      <w:divBdr>
        <w:top w:val="none" w:sz="0" w:space="0" w:color="auto"/>
        <w:left w:val="none" w:sz="0" w:space="0" w:color="auto"/>
        <w:bottom w:val="none" w:sz="0" w:space="0" w:color="auto"/>
        <w:right w:val="none" w:sz="0" w:space="0" w:color="auto"/>
      </w:divBdr>
    </w:div>
    <w:div w:id="392700709">
      <w:bodyDiv w:val="1"/>
      <w:marLeft w:val="0"/>
      <w:marRight w:val="0"/>
      <w:marTop w:val="0"/>
      <w:marBottom w:val="0"/>
      <w:divBdr>
        <w:top w:val="none" w:sz="0" w:space="0" w:color="auto"/>
        <w:left w:val="none" w:sz="0" w:space="0" w:color="auto"/>
        <w:bottom w:val="none" w:sz="0" w:space="0" w:color="auto"/>
        <w:right w:val="none" w:sz="0" w:space="0" w:color="auto"/>
      </w:divBdr>
    </w:div>
    <w:div w:id="402798014">
      <w:bodyDiv w:val="1"/>
      <w:marLeft w:val="0"/>
      <w:marRight w:val="0"/>
      <w:marTop w:val="0"/>
      <w:marBottom w:val="0"/>
      <w:divBdr>
        <w:top w:val="none" w:sz="0" w:space="0" w:color="auto"/>
        <w:left w:val="none" w:sz="0" w:space="0" w:color="auto"/>
        <w:bottom w:val="none" w:sz="0" w:space="0" w:color="auto"/>
        <w:right w:val="none" w:sz="0" w:space="0" w:color="auto"/>
      </w:divBdr>
    </w:div>
    <w:div w:id="411509897">
      <w:bodyDiv w:val="1"/>
      <w:marLeft w:val="0"/>
      <w:marRight w:val="0"/>
      <w:marTop w:val="0"/>
      <w:marBottom w:val="0"/>
      <w:divBdr>
        <w:top w:val="none" w:sz="0" w:space="0" w:color="auto"/>
        <w:left w:val="none" w:sz="0" w:space="0" w:color="auto"/>
        <w:bottom w:val="none" w:sz="0" w:space="0" w:color="auto"/>
        <w:right w:val="none" w:sz="0" w:space="0" w:color="auto"/>
      </w:divBdr>
    </w:div>
    <w:div w:id="411702852">
      <w:bodyDiv w:val="1"/>
      <w:marLeft w:val="0"/>
      <w:marRight w:val="0"/>
      <w:marTop w:val="0"/>
      <w:marBottom w:val="0"/>
      <w:divBdr>
        <w:top w:val="none" w:sz="0" w:space="0" w:color="auto"/>
        <w:left w:val="none" w:sz="0" w:space="0" w:color="auto"/>
        <w:bottom w:val="none" w:sz="0" w:space="0" w:color="auto"/>
        <w:right w:val="none" w:sz="0" w:space="0" w:color="auto"/>
      </w:divBdr>
    </w:div>
    <w:div w:id="419183020">
      <w:bodyDiv w:val="1"/>
      <w:marLeft w:val="0"/>
      <w:marRight w:val="0"/>
      <w:marTop w:val="0"/>
      <w:marBottom w:val="0"/>
      <w:divBdr>
        <w:top w:val="none" w:sz="0" w:space="0" w:color="auto"/>
        <w:left w:val="none" w:sz="0" w:space="0" w:color="auto"/>
        <w:bottom w:val="none" w:sz="0" w:space="0" w:color="auto"/>
        <w:right w:val="none" w:sz="0" w:space="0" w:color="auto"/>
      </w:divBdr>
    </w:div>
    <w:div w:id="424301435">
      <w:bodyDiv w:val="1"/>
      <w:marLeft w:val="0"/>
      <w:marRight w:val="0"/>
      <w:marTop w:val="0"/>
      <w:marBottom w:val="0"/>
      <w:divBdr>
        <w:top w:val="none" w:sz="0" w:space="0" w:color="auto"/>
        <w:left w:val="none" w:sz="0" w:space="0" w:color="auto"/>
        <w:bottom w:val="none" w:sz="0" w:space="0" w:color="auto"/>
        <w:right w:val="none" w:sz="0" w:space="0" w:color="auto"/>
      </w:divBdr>
    </w:div>
    <w:div w:id="426385081">
      <w:bodyDiv w:val="1"/>
      <w:marLeft w:val="0"/>
      <w:marRight w:val="0"/>
      <w:marTop w:val="0"/>
      <w:marBottom w:val="0"/>
      <w:divBdr>
        <w:top w:val="none" w:sz="0" w:space="0" w:color="auto"/>
        <w:left w:val="none" w:sz="0" w:space="0" w:color="auto"/>
        <w:bottom w:val="none" w:sz="0" w:space="0" w:color="auto"/>
        <w:right w:val="none" w:sz="0" w:space="0" w:color="auto"/>
      </w:divBdr>
    </w:div>
    <w:div w:id="429475451">
      <w:bodyDiv w:val="1"/>
      <w:marLeft w:val="0"/>
      <w:marRight w:val="0"/>
      <w:marTop w:val="0"/>
      <w:marBottom w:val="0"/>
      <w:divBdr>
        <w:top w:val="none" w:sz="0" w:space="0" w:color="auto"/>
        <w:left w:val="none" w:sz="0" w:space="0" w:color="auto"/>
        <w:bottom w:val="none" w:sz="0" w:space="0" w:color="auto"/>
        <w:right w:val="none" w:sz="0" w:space="0" w:color="auto"/>
      </w:divBdr>
    </w:div>
    <w:div w:id="432941603">
      <w:bodyDiv w:val="1"/>
      <w:marLeft w:val="0"/>
      <w:marRight w:val="0"/>
      <w:marTop w:val="0"/>
      <w:marBottom w:val="0"/>
      <w:divBdr>
        <w:top w:val="none" w:sz="0" w:space="0" w:color="auto"/>
        <w:left w:val="none" w:sz="0" w:space="0" w:color="auto"/>
        <w:bottom w:val="none" w:sz="0" w:space="0" w:color="auto"/>
        <w:right w:val="none" w:sz="0" w:space="0" w:color="auto"/>
      </w:divBdr>
    </w:div>
    <w:div w:id="438838208">
      <w:bodyDiv w:val="1"/>
      <w:marLeft w:val="0"/>
      <w:marRight w:val="0"/>
      <w:marTop w:val="0"/>
      <w:marBottom w:val="0"/>
      <w:divBdr>
        <w:top w:val="none" w:sz="0" w:space="0" w:color="auto"/>
        <w:left w:val="none" w:sz="0" w:space="0" w:color="auto"/>
        <w:bottom w:val="none" w:sz="0" w:space="0" w:color="auto"/>
        <w:right w:val="none" w:sz="0" w:space="0" w:color="auto"/>
      </w:divBdr>
    </w:div>
    <w:div w:id="441271332">
      <w:bodyDiv w:val="1"/>
      <w:marLeft w:val="0"/>
      <w:marRight w:val="0"/>
      <w:marTop w:val="0"/>
      <w:marBottom w:val="0"/>
      <w:divBdr>
        <w:top w:val="none" w:sz="0" w:space="0" w:color="auto"/>
        <w:left w:val="none" w:sz="0" w:space="0" w:color="auto"/>
        <w:bottom w:val="none" w:sz="0" w:space="0" w:color="auto"/>
        <w:right w:val="none" w:sz="0" w:space="0" w:color="auto"/>
      </w:divBdr>
    </w:div>
    <w:div w:id="452871658">
      <w:bodyDiv w:val="1"/>
      <w:marLeft w:val="0"/>
      <w:marRight w:val="0"/>
      <w:marTop w:val="0"/>
      <w:marBottom w:val="0"/>
      <w:divBdr>
        <w:top w:val="none" w:sz="0" w:space="0" w:color="auto"/>
        <w:left w:val="none" w:sz="0" w:space="0" w:color="auto"/>
        <w:bottom w:val="none" w:sz="0" w:space="0" w:color="auto"/>
        <w:right w:val="none" w:sz="0" w:space="0" w:color="auto"/>
      </w:divBdr>
    </w:div>
    <w:div w:id="454643694">
      <w:bodyDiv w:val="1"/>
      <w:marLeft w:val="0"/>
      <w:marRight w:val="0"/>
      <w:marTop w:val="0"/>
      <w:marBottom w:val="0"/>
      <w:divBdr>
        <w:top w:val="none" w:sz="0" w:space="0" w:color="auto"/>
        <w:left w:val="none" w:sz="0" w:space="0" w:color="auto"/>
        <w:bottom w:val="none" w:sz="0" w:space="0" w:color="auto"/>
        <w:right w:val="none" w:sz="0" w:space="0" w:color="auto"/>
      </w:divBdr>
    </w:div>
    <w:div w:id="456992658">
      <w:bodyDiv w:val="1"/>
      <w:marLeft w:val="0"/>
      <w:marRight w:val="0"/>
      <w:marTop w:val="0"/>
      <w:marBottom w:val="0"/>
      <w:divBdr>
        <w:top w:val="none" w:sz="0" w:space="0" w:color="auto"/>
        <w:left w:val="none" w:sz="0" w:space="0" w:color="auto"/>
        <w:bottom w:val="none" w:sz="0" w:space="0" w:color="auto"/>
        <w:right w:val="none" w:sz="0" w:space="0" w:color="auto"/>
      </w:divBdr>
    </w:div>
    <w:div w:id="468980116">
      <w:bodyDiv w:val="1"/>
      <w:marLeft w:val="0"/>
      <w:marRight w:val="0"/>
      <w:marTop w:val="0"/>
      <w:marBottom w:val="0"/>
      <w:divBdr>
        <w:top w:val="none" w:sz="0" w:space="0" w:color="auto"/>
        <w:left w:val="none" w:sz="0" w:space="0" w:color="auto"/>
        <w:bottom w:val="none" w:sz="0" w:space="0" w:color="auto"/>
        <w:right w:val="none" w:sz="0" w:space="0" w:color="auto"/>
      </w:divBdr>
    </w:div>
    <w:div w:id="470024412">
      <w:bodyDiv w:val="1"/>
      <w:marLeft w:val="0"/>
      <w:marRight w:val="0"/>
      <w:marTop w:val="0"/>
      <w:marBottom w:val="0"/>
      <w:divBdr>
        <w:top w:val="none" w:sz="0" w:space="0" w:color="auto"/>
        <w:left w:val="none" w:sz="0" w:space="0" w:color="auto"/>
        <w:bottom w:val="none" w:sz="0" w:space="0" w:color="auto"/>
        <w:right w:val="none" w:sz="0" w:space="0" w:color="auto"/>
      </w:divBdr>
    </w:div>
    <w:div w:id="481627484">
      <w:bodyDiv w:val="1"/>
      <w:marLeft w:val="0"/>
      <w:marRight w:val="0"/>
      <w:marTop w:val="0"/>
      <w:marBottom w:val="0"/>
      <w:divBdr>
        <w:top w:val="none" w:sz="0" w:space="0" w:color="auto"/>
        <w:left w:val="none" w:sz="0" w:space="0" w:color="auto"/>
        <w:bottom w:val="none" w:sz="0" w:space="0" w:color="auto"/>
        <w:right w:val="none" w:sz="0" w:space="0" w:color="auto"/>
      </w:divBdr>
    </w:div>
    <w:div w:id="483395865">
      <w:bodyDiv w:val="1"/>
      <w:marLeft w:val="0"/>
      <w:marRight w:val="0"/>
      <w:marTop w:val="0"/>
      <w:marBottom w:val="0"/>
      <w:divBdr>
        <w:top w:val="none" w:sz="0" w:space="0" w:color="auto"/>
        <w:left w:val="none" w:sz="0" w:space="0" w:color="auto"/>
        <w:bottom w:val="none" w:sz="0" w:space="0" w:color="auto"/>
        <w:right w:val="none" w:sz="0" w:space="0" w:color="auto"/>
      </w:divBdr>
    </w:div>
    <w:div w:id="484127007">
      <w:bodyDiv w:val="1"/>
      <w:marLeft w:val="0"/>
      <w:marRight w:val="0"/>
      <w:marTop w:val="0"/>
      <w:marBottom w:val="0"/>
      <w:divBdr>
        <w:top w:val="none" w:sz="0" w:space="0" w:color="auto"/>
        <w:left w:val="none" w:sz="0" w:space="0" w:color="auto"/>
        <w:bottom w:val="none" w:sz="0" w:space="0" w:color="auto"/>
        <w:right w:val="none" w:sz="0" w:space="0" w:color="auto"/>
      </w:divBdr>
    </w:div>
    <w:div w:id="489714391">
      <w:bodyDiv w:val="1"/>
      <w:marLeft w:val="0"/>
      <w:marRight w:val="0"/>
      <w:marTop w:val="0"/>
      <w:marBottom w:val="0"/>
      <w:divBdr>
        <w:top w:val="none" w:sz="0" w:space="0" w:color="auto"/>
        <w:left w:val="none" w:sz="0" w:space="0" w:color="auto"/>
        <w:bottom w:val="none" w:sz="0" w:space="0" w:color="auto"/>
        <w:right w:val="none" w:sz="0" w:space="0" w:color="auto"/>
      </w:divBdr>
    </w:div>
    <w:div w:id="491022779">
      <w:bodyDiv w:val="1"/>
      <w:marLeft w:val="0"/>
      <w:marRight w:val="0"/>
      <w:marTop w:val="0"/>
      <w:marBottom w:val="0"/>
      <w:divBdr>
        <w:top w:val="none" w:sz="0" w:space="0" w:color="auto"/>
        <w:left w:val="none" w:sz="0" w:space="0" w:color="auto"/>
        <w:bottom w:val="none" w:sz="0" w:space="0" w:color="auto"/>
        <w:right w:val="none" w:sz="0" w:space="0" w:color="auto"/>
      </w:divBdr>
    </w:div>
    <w:div w:id="493424278">
      <w:bodyDiv w:val="1"/>
      <w:marLeft w:val="0"/>
      <w:marRight w:val="0"/>
      <w:marTop w:val="0"/>
      <w:marBottom w:val="0"/>
      <w:divBdr>
        <w:top w:val="none" w:sz="0" w:space="0" w:color="auto"/>
        <w:left w:val="none" w:sz="0" w:space="0" w:color="auto"/>
        <w:bottom w:val="none" w:sz="0" w:space="0" w:color="auto"/>
        <w:right w:val="none" w:sz="0" w:space="0" w:color="auto"/>
      </w:divBdr>
    </w:div>
    <w:div w:id="494804802">
      <w:bodyDiv w:val="1"/>
      <w:marLeft w:val="0"/>
      <w:marRight w:val="0"/>
      <w:marTop w:val="0"/>
      <w:marBottom w:val="0"/>
      <w:divBdr>
        <w:top w:val="none" w:sz="0" w:space="0" w:color="auto"/>
        <w:left w:val="none" w:sz="0" w:space="0" w:color="auto"/>
        <w:bottom w:val="none" w:sz="0" w:space="0" w:color="auto"/>
        <w:right w:val="none" w:sz="0" w:space="0" w:color="auto"/>
      </w:divBdr>
    </w:div>
    <w:div w:id="496193634">
      <w:bodyDiv w:val="1"/>
      <w:marLeft w:val="0"/>
      <w:marRight w:val="0"/>
      <w:marTop w:val="0"/>
      <w:marBottom w:val="0"/>
      <w:divBdr>
        <w:top w:val="none" w:sz="0" w:space="0" w:color="auto"/>
        <w:left w:val="none" w:sz="0" w:space="0" w:color="auto"/>
        <w:bottom w:val="none" w:sz="0" w:space="0" w:color="auto"/>
        <w:right w:val="none" w:sz="0" w:space="0" w:color="auto"/>
      </w:divBdr>
    </w:div>
    <w:div w:id="497354118">
      <w:bodyDiv w:val="1"/>
      <w:marLeft w:val="0"/>
      <w:marRight w:val="0"/>
      <w:marTop w:val="0"/>
      <w:marBottom w:val="0"/>
      <w:divBdr>
        <w:top w:val="none" w:sz="0" w:space="0" w:color="auto"/>
        <w:left w:val="none" w:sz="0" w:space="0" w:color="auto"/>
        <w:bottom w:val="none" w:sz="0" w:space="0" w:color="auto"/>
        <w:right w:val="none" w:sz="0" w:space="0" w:color="auto"/>
      </w:divBdr>
    </w:div>
    <w:div w:id="497968427">
      <w:bodyDiv w:val="1"/>
      <w:marLeft w:val="0"/>
      <w:marRight w:val="0"/>
      <w:marTop w:val="0"/>
      <w:marBottom w:val="0"/>
      <w:divBdr>
        <w:top w:val="none" w:sz="0" w:space="0" w:color="auto"/>
        <w:left w:val="none" w:sz="0" w:space="0" w:color="auto"/>
        <w:bottom w:val="none" w:sz="0" w:space="0" w:color="auto"/>
        <w:right w:val="none" w:sz="0" w:space="0" w:color="auto"/>
      </w:divBdr>
    </w:div>
    <w:div w:id="500200559">
      <w:bodyDiv w:val="1"/>
      <w:marLeft w:val="0"/>
      <w:marRight w:val="0"/>
      <w:marTop w:val="0"/>
      <w:marBottom w:val="0"/>
      <w:divBdr>
        <w:top w:val="none" w:sz="0" w:space="0" w:color="auto"/>
        <w:left w:val="none" w:sz="0" w:space="0" w:color="auto"/>
        <w:bottom w:val="none" w:sz="0" w:space="0" w:color="auto"/>
        <w:right w:val="none" w:sz="0" w:space="0" w:color="auto"/>
      </w:divBdr>
    </w:div>
    <w:div w:id="502355546">
      <w:bodyDiv w:val="1"/>
      <w:marLeft w:val="0"/>
      <w:marRight w:val="0"/>
      <w:marTop w:val="0"/>
      <w:marBottom w:val="0"/>
      <w:divBdr>
        <w:top w:val="none" w:sz="0" w:space="0" w:color="auto"/>
        <w:left w:val="none" w:sz="0" w:space="0" w:color="auto"/>
        <w:bottom w:val="none" w:sz="0" w:space="0" w:color="auto"/>
        <w:right w:val="none" w:sz="0" w:space="0" w:color="auto"/>
      </w:divBdr>
    </w:div>
    <w:div w:id="502404694">
      <w:bodyDiv w:val="1"/>
      <w:marLeft w:val="0"/>
      <w:marRight w:val="0"/>
      <w:marTop w:val="0"/>
      <w:marBottom w:val="0"/>
      <w:divBdr>
        <w:top w:val="none" w:sz="0" w:space="0" w:color="auto"/>
        <w:left w:val="none" w:sz="0" w:space="0" w:color="auto"/>
        <w:bottom w:val="none" w:sz="0" w:space="0" w:color="auto"/>
        <w:right w:val="none" w:sz="0" w:space="0" w:color="auto"/>
      </w:divBdr>
    </w:div>
    <w:div w:id="506139816">
      <w:bodyDiv w:val="1"/>
      <w:marLeft w:val="0"/>
      <w:marRight w:val="0"/>
      <w:marTop w:val="0"/>
      <w:marBottom w:val="0"/>
      <w:divBdr>
        <w:top w:val="none" w:sz="0" w:space="0" w:color="auto"/>
        <w:left w:val="none" w:sz="0" w:space="0" w:color="auto"/>
        <w:bottom w:val="none" w:sz="0" w:space="0" w:color="auto"/>
        <w:right w:val="none" w:sz="0" w:space="0" w:color="auto"/>
      </w:divBdr>
    </w:div>
    <w:div w:id="510292996">
      <w:bodyDiv w:val="1"/>
      <w:marLeft w:val="0"/>
      <w:marRight w:val="0"/>
      <w:marTop w:val="0"/>
      <w:marBottom w:val="0"/>
      <w:divBdr>
        <w:top w:val="none" w:sz="0" w:space="0" w:color="auto"/>
        <w:left w:val="none" w:sz="0" w:space="0" w:color="auto"/>
        <w:bottom w:val="none" w:sz="0" w:space="0" w:color="auto"/>
        <w:right w:val="none" w:sz="0" w:space="0" w:color="auto"/>
      </w:divBdr>
    </w:div>
    <w:div w:id="511727183">
      <w:bodyDiv w:val="1"/>
      <w:marLeft w:val="0"/>
      <w:marRight w:val="0"/>
      <w:marTop w:val="0"/>
      <w:marBottom w:val="0"/>
      <w:divBdr>
        <w:top w:val="none" w:sz="0" w:space="0" w:color="auto"/>
        <w:left w:val="none" w:sz="0" w:space="0" w:color="auto"/>
        <w:bottom w:val="none" w:sz="0" w:space="0" w:color="auto"/>
        <w:right w:val="none" w:sz="0" w:space="0" w:color="auto"/>
      </w:divBdr>
    </w:div>
    <w:div w:id="512426667">
      <w:bodyDiv w:val="1"/>
      <w:marLeft w:val="0"/>
      <w:marRight w:val="0"/>
      <w:marTop w:val="0"/>
      <w:marBottom w:val="0"/>
      <w:divBdr>
        <w:top w:val="none" w:sz="0" w:space="0" w:color="auto"/>
        <w:left w:val="none" w:sz="0" w:space="0" w:color="auto"/>
        <w:bottom w:val="none" w:sz="0" w:space="0" w:color="auto"/>
        <w:right w:val="none" w:sz="0" w:space="0" w:color="auto"/>
      </w:divBdr>
    </w:div>
    <w:div w:id="514348588">
      <w:bodyDiv w:val="1"/>
      <w:marLeft w:val="0"/>
      <w:marRight w:val="0"/>
      <w:marTop w:val="0"/>
      <w:marBottom w:val="0"/>
      <w:divBdr>
        <w:top w:val="none" w:sz="0" w:space="0" w:color="auto"/>
        <w:left w:val="none" w:sz="0" w:space="0" w:color="auto"/>
        <w:bottom w:val="none" w:sz="0" w:space="0" w:color="auto"/>
        <w:right w:val="none" w:sz="0" w:space="0" w:color="auto"/>
      </w:divBdr>
    </w:div>
    <w:div w:id="519779381">
      <w:bodyDiv w:val="1"/>
      <w:marLeft w:val="0"/>
      <w:marRight w:val="0"/>
      <w:marTop w:val="0"/>
      <w:marBottom w:val="0"/>
      <w:divBdr>
        <w:top w:val="none" w:sz="0" w:space="0" w:color="auto"/>
        <w:left w:val="none" w:sz="0" w:space="0" w:color="auto"/>
        <w:bottom w:val="none" w:sz="0" w:space="0" w:color="auto"/>
        <w:right w:val="none" w:sz="0" w:space="0" w:color="auto"/>
      </w:divBdr>
    </w:div>
    <w:div w:id="526723013">
      <w:bodyDiv w:val="1"/>
      <w:marLeft w:val="0"/>
      <w:marRight w:val="0"/>
      <w:marTop w:val="0"/>
      <w:marBottom w:val="0"/>
      <w:divBdr>
        <w:top w:val="none" w:sz="0" w:space="0" w:color="auto"/>
        <w:left w:val="none" w:sz="0" w:space="0" w:color="auto"/>
        <w:bottom w:val="none" w:sz="0" w:space="0" w:color="auto"/>
        <w:right w:val="none" w:sz="0" w:space="0" w:color="auto"/>
      </w:divBdr>
    </w:div>
    <w:div w:id="529300806">
      <w:bodyDiv w:val="1"/>
      <w:marLeft w:val="0"/>
      <w:marRight w:val="0"/>
      <w:marTop w:val="0"/>
      <w:marBottom w:val="0"/>
      <w:divBdr>
        <w:top w:val="none" w:sz="0" w:space="0" w:color="auto"/>
        <w:left w:val="none" w:sz="0" w:space="0" w:color="auto"/>
        <w:bottom w:val="none" w:sz="0" w:space="0" w:color="auto"/>
        <w:right w:val="none" w:sz="0" w:space="0" w:color="auto"/>
      </w:divBdr>
    </w:div>
    <w:div w:id="531194147">
      <w:bodyDiv w:val="1"/>
      <w:marLeft w:val="0"/>
      <w:marRight w:val="0"/>
      <w:marTop w:val="0"/>
      <w:marBottom w:val="0"/>
      <w:divBdr>
        <w:top w:val="none" w:sz="0" w:space="0" w:color="auto"/>
        <w:left w:val="none" w:sz="0" w:space="0" w:color="auto"/>
        <w:bottom w:val="none" w:sz="0" w:space="0" w:color="auto"/>
        <w:right w:val="none" w:sz="0" w:space="0" w:color="auto"/>
      </w:divBdr>
    </w:div>
    <w:div w:id="538860782">
      <w:bodyDiv w:val="1"/>
      <w:marLeft w:val="0"/>
      <w:marRight w:val="0"/>
      <w:marTop w:val="0"/>
      <w:marBottom w:val="0"/>
      <w:divBdr>
        <w:top w:val="none" w:sz="0" w:space="0" w:color="auto"/>
        <w:left w:val="none" w:sz="0" w:space="0" w:color="auto"/>
        <w:bottom w:val="none" w:sz="0" w:space="0" w:color="auto"/>
        <w:right w:val="none" w:sz="0" w:space="0" w:color="auto"/>
      </w:divBdr>
    </w:div>
    <w:div w:id="547453963">
      <w:bodyDiv w:val="1"/>
      <w:marLeft w:val="0"/>
      <w:marRight w:val="0"/>
      <w:marTop w:val="0"/>
      <w:marBottom w:val="0"/>
      <w:divBdr>
        <w:top w:val="none" w:sz="0" w:space="0" w:color="auto"/>
        <w:left w:val="none" w:sz="0" w:space="0" w:color="auto"/>
        <w:bottom w:val="none" w:sz="0" w:space="0" w:color="auto"/>
        <w:right w:val="none" w:sz="0" w:space="0" w:color="auto"/>
      </w:divBdr>
    </w:div>
    <w:div w:id="550846122">
      <w:bodyDiv w:val="1"/>
      <w:marLeft w:val="0"/>
      <w:marRight w:val="0"/>
      <w:marTop w:val="0"/>
      <w:marBottom w:val="0"/>
      <w:divBdr>
        <w:top w:val="none" w:sz="0" w:space="0" w:color="auto"/>
        <w:left w:val="none" w:sz="0" w:space="0" w:color="auto"/>
        <w:bottom w:val="none" w:sz="0" w:space="0" w:color="auto"/>
        <w:right w:val="none" w:sz="0" w:space="0" w:color="auto"/>
      </w:divBdr>
    </w:div>
    <w:div w:id="552010312">
      <w:bodyDiv w:val="1"/>
      <w:marLeft w:val="0"/>
      <w:marRight w:val="0"/>
      <w:marTop w:val="0"/>
      <w:marBottom w:val="0"/>
      <w:divBdr>
        <w:top w:val="none" w:sz="0" w:space="0" w:color="auto"/>
        <w:left w:val="none" w:sz="0" w:space="0" w:color="auto"/>
        <w:bottom w:val="none" w:sz="0" w:space="0" w:color="auto"/>
        <w:right w:val="none" w:sz="0" w:space="0" w:color="auto"/>
      </w:divBdr>
    </w:div>
    <w:div w:id="560481061">
      <w:bodyDiv w:val="1"/>
      <w:marLeft w:val="0"/>
      <w:marRight w:val="0"/>
      <w:marTop w:val="0"/>
      <w:marBottom w:val="0"/>
      <w:divBdr>
        <w:top w:val="none" w:sz="0" w:space="0" w:color="auto"/>
        <w:left w:val="none" w:sz="0" w:space="0" w:color="auto"/>
        <w:bottom w:val="none" w:sz="0" w:space="0" w:color="auto"/>
        <w:right w:val="none" w:sz="0" w:space="0" w:color="auto"/>
      </w:divBdr>
    </w:div>
    <w:div w:id="570308102">
      <w:bodyDiv w:val="1"/>
      <w:marLeft w:val="0"/>
      <w:marRight w:val="0"/>
      <w:marTop w:val="0"/>
      <w:marBottom w:val="0"/>
      <w:divBdr>
        <w:top w:val="none" w:sz="0" w:space="0" w:color="auto"/>
        <w:left w:val="none" w:sz="0" w:space="0" w:color="auto"/>
        <w:bottom w:val="none" w:sz="0" w:space="0" w:color="auto"/>
        <w:right w:val="none" w:sz="0" w:space="0" w:color="auto"/>
      </w:divBdr>
    </w:div>
    <w:div w:id="570702248">
      <w:bodyDiv w:val="1"/>
      <w:marLeft w:val="0"/>
      <w:marRight w:val="0"/>
      <w:marTop w:val="0"/>
      <w:marBottom w:val="0"/>
      <w:divBdr>
        <w:top w:val="none" w:sz="0" w:space="0" w:color="auto"/>
        <w:left w:val="none" w:sz="0" w:space="0" w:color="auto"/>
        <w:bottom w:val="none" w:sz="0" w:space="0" w:color="auto"/>
        <w:right w:val="none" w:sz="0" w:space="0" w:color="auto"/>
      </w:divBdr>
    </w:div>
    <w:div w:id="580019356">
      <w:bodyDiv w:val="1"/>
      <w:marLeft w:val="0"/>
      <w:marRight w:val="0"/>
      <w:marTop w:val="0"/>
      <w:marBottom w:val="0"/>
      <w:divBdr>
        <w:top w:val="none" w:sz="0" w:space="0" w:color="auto"/>
        <w:left w:val="none" w:sz="0" w:space="0" w:color="auto"/>
        <w:bottom w:val="none" w:sz="0" w:space="0" w:color="auto"/>
        <w:right w:val="none" w:sz="0" w:space="0" w:color="auto"/>
      </w:divBdr>
    </w:div>
    <w:div w:id="587663393">
      <w:bodyDiv w:val="1"/>
      <w:marLeft w:val="0"/>
      <w:marRight w:val="0"/>
      <w:marTop w:val="0"/>
      <w:marBottom w:val="0"/>
      <w:divBdr>
        <w:top w:val="none" w:sz="0" w:space="0" w:color="auto"/>
        <w:left w:val="none" w:sz="0" w:space="0" w:color="auto"/>
        <w:bottom w:val="none" w:sz="0" w:space="0" w:color="auto"/>
        <w:right w:val="none" w:sz="0" w:space="0" w:color="auto"/>
      </w:divBdr>
    </w:div>
    <w:div w:id="588972932">
      <w:bodyDiv w:val="1"/>
      <w:marLeft w:val="0"/>
      <w:marRight w:val="0"/>
      <w:marTop w:val="0"/>
      <w:marBottom w:val="0"/>
      <w:divBdr>
        <w:top w:val="none" w:sz="0" w:space="0" w:color="auto"/>
        <w:left w:val="none" w:sz="0" w:space="0" w:color="auto"/>
        <w:bottom w:val="none" w:sz="0" w:space="0" w:color="auto"/>
        <w:right w:val="none" w:sz="0" w:space="0" w:color="auto"/>
      </w:divBdr>
    </w:div>
    <w:div w:id="598416741">
      <w:bodyDiv w:val="1"/>
      <w:marLeft w:val="0"/>
      <w:marRight w:val="0"/>
      <w:marTop w:val="0"/>
      <w:marBottom w:val="0"/>
      <w:divBdr>
        <w:top w:val="none" w:sz="0" w:space="0" w:color="auto"/>
        <w:left w:val="none" w:sz="0" w:space="0" w:color="auto"/>
        <w:bottom w:val="none" w:sz="0" w:space="0" w:color="auto"/>
        <w:right w:val="none" w:sz="0" w:space="0" w:color="auto"/>
      </w:divBdr>
    </w:div>
    <w:div w:id="601452235">
      <w:bodyDiv w:val="1"/>
      <w:marLeft w:val="0"/>
      <w:marRight w:val="0"/>
      <w:marTop w:val="0"/>
      <w:marBottom w:val="0"/>
      <w:divBdr>
        <w:top w:val="none" w:sz="0" w:space="0" w:color="auto"/>
        <w:left w:val="none" w:sz="0" w:space="0" w:color="auto"/>
        <w:bottom w:val="none" w:sz="0" w:space="0" w:color="auto"/>
        <w:right w:val="none" w:sz="0" w:space="0" w:color="auto"/>
      </w:divBdr>
    </w:div>
    <w:div w:id="602497226">
      <w:bodyDiv w:val="1"/>
      <w:marLeft w:val="0"/>
      <w:marRight w:val="0"/>
      <w:marTop w:val="0"/>
      <w:marBottom w:val="0"/>
      <w:divBdr>
        <w:top w:val="none" w:sz="0" w:space="0" w:color="auto"/>
        <w:left w:val="none" w:sz="0" w:space="0" w:color="auto"/>
        <w:bottom w:val="none" w:sz="0" w:space="0" w:color="auto"/>
        <w:right w:val="none" w:sz="0" w:space="0" w:color="auto"/>
      </w:divBdr>
    </w:div>
    <w:div w:id="603659143">
      <w:bodyDiv w:val="1"/>
      <w:marLeft w:val="0"/>
      <w:marRight w:val="0"/>
      <w:marTop w:val="0"/>
      <w:marBottom w:val="0"/>
      <w:divBdr>
        <w:top w:val="none" w:sz="0" w:space="0" w:color="auto"/>
        <w:left w:val="none" w:sz="0" w:space="0" w:color="auto"/>
        <w:bottom w:val="none" w:sz="0" w:space="0" w:color="auto"/>
        <w:right w:val="none" w:sz="0" w:space="0" w:color="auto"/>
      </w:divBdr>
    </w:div>
    <w:div w:id="608582389">
      <w:bodyDiv w:val="1"/>
      <w:marLeft w:val="0"/>
      <w:marRight w:val="0"/>
      <w:marTop w:val="0"/>
      <w:marBottom w:val="0"/>
      <w:divBdr>
        <w:top w:val="none" w:sz="0" w:space="0" w:color="auto"/>
        <w:left w:val="none" w:sz="0" w:space="0" w:color="auto"/>
        <w:bottom w:val="none" w:sz="0" w:space="0" w:color="auto"/>
        <w:right w:val="none" w:sz="0" w:space="0" w:color="auto"/>
      </w:divBdr>
    </w:div>
    <w:div w:id="613366180">
      <w:bodyDiv w:val="1"/>
      <w:marLeft w:val="0"/>
      <w:marRight w:val="0"/>
      <w:marTop w:val="0"/>
      <w:marBottom w:val="0"/>
      <w:divBdr>
        <w:top w:val="none" w:sz="0" w:space="0" w:color="auto"/>
        <w:left w:val="none" w:sz="0" w:space="0" w:color="auto"/>
        <w:bottom w:val="none" w:sz="0" w:space="0" w:color="auto"/>
        <w:right w:val="none" w:sz="0" w:space="0" w:color="auto"/>
      </w:divBdr>
    </w:div>
    <w:div w:id="618991707">
      <w:bodyDiv w:val="1"/>
      <w:marLeft w:val="0"/>
      <w:marRight w:val="0"/>
      <w:marTop w:val="0"/>
      <w:marBottom w:val="0"/>
      <w:divBdr>
        <w:top w:val="none" w:sz="0" w:space="0" w:color="auto"/>
        <w:left w:val="none" w:sz="0" w:space="0" w:color="auto"/>
        <w:bottom w:val="none" w:sz="0" w:space="0" w:color="auto"/>
        <w:right w:val="none" w:sz="0" w:space="0" w:color="auto"/>
      </w:divBdr>
    </w:div>
    <w:div w:id="620569784">
      <w:bodyDiv w:val="1"/>
      <w:marLeft w:val="0"/>
      <w:marRight w:val="0"/>
      <w:marTop w:val="0"/>
      <w:marBottom w:val="0"/>
      <w:divBdr>
        <w:top w:val="none" w:sz="0" w:space="0" w:color="auto"/>
        <w:left w:val="none" w:sz="0" w:space="0" w:color="auto"/>
        <w:bottom w:val="none" w:sz="0" w:space="0" w:color="auto"/>
        <w:right w:val="none" w:sz="0" w:space="0" w:color="auto"/>
      </w:divBdr>
    </w:div>
    <w:div w:id="620570557">
      <w:bodyDiv w:val="1"/>
      <w:marLeft w:val="0"/>
      <w:marRight w:val="0"/>
      <w:marTop w:val="0"/>
      <w:marBottom w:val="0"/>
      <w:divBdr>
        <w:top w:val="none" w:sz="0" w:space="0" w:color="auto"/>
        <w:left w:val="none" w:sz="0" w:space="0" w:color="auto"/>
        <w:bottom w:val="none" w:sz="0" w:space="0" w:color="auto"/>
        <w:right w:val="none" w:sz="0" w:space="0" w:color="auto"/>
      </w:divBdr>
    </w:div>
    <w:div w:id="630600429">
      <w:bodyDiv w:val="1"/>
      <w:marLeft w:val="0"/>
      <w:marRight w:val="0"/>
      <w:marTop w:val="0"/>
      <w:marBottom w:val="0"/>
      <w:divBdr>
        <w:top w:val="none" w:sz="0" w:space="0" w:color="auto"/>
        <w:left w:val="none" w:sz="0" w:space="0" w:color="auto"/>
        <w:bottom w:val="none" w:sz="0" w:space="0" w:color="auto"/>
        <w:right w:val="none" w:sz="0" w:space="0" w:color="auto"/>
      </w:divBdr>
    </w:div>
    <w:div w:id="634333502">
      <w:bodyDiv w:val="1"/>
      <w:marLeft w:val="0"/>
      <w:marRight w:val="0"/>
      <w:marTop w:val="0"/>
      <w:marBottom w:val="0"/>
      <w:divBdr>
        <w:top w:val="none" w:sz="0" w:space="0" w:color="auto"/>
        <w:left w:val="none" w:sz="0" w:space="0" w:color="auto"/>
        <w:bottom w:val="none" w:sz="0" w:space="0" w:color="auto"/>
        <w:right w:val="none" w:sz="0" w:space="0" w:color="auto"/>
      </w:divBdr>
    </w:div>
    <w:div w:id="638458985">
      <w:bodyDiv w:val="1"/>
      <w:marLeft w:val="0"/>
      <w:marRight w:val="0"/>
      <w:marTop w:val="0"/>
      <w:marBottom w:val="0"/>
      <w:divBdr>
        <w:top w:val="none" w:sz="0" w:space="0" w:color="auto"/>
        <w:left w:val="none" w:sz="0" w:space="0" w:color="auto"/>
        <w:bottom w:val="none" w:sz="0" w:space="0" w:color="auto"/>
        <w:right w:val="none" w:sz="0" w:space="0" w:color="auto"/>
      </w:divBdr>
    </w:div>
    <w:div w:id="643630366">
      <w:bodyDiv w:val="1"/>
      <w:marLeft w:val="0"/>
      <w:marRight w:val="0"/>
      <w:marTop w:val="0"/>
      <w:marBottom w:val="0"/>
      <w:divBdr>
        <w:top w:val="none" w:sz="0" w:space="0" w:color="auto"/>
        <w:left w:val="none" w:sz="0" w:space="0" w:color="auto"/>
        <w:bottom w:val="none" w:sz="0" w:space="0" w:color="auto"/>
        <w:right w:val="none" w:sz="0" w:space="0" w:color="auto"/>
      </w:divBdr>
    </w:div>
    <w:div w:id="644819829">
      <w:bodyDiv w:val="1"/>
      <w:marLeft w:val="0"/>
      <w:marRight w:val="0"/>
      <w:marTop w:val="0"/>
      <w:marBottom w:val="0"/>
      <w:divBdr>
        <w:top w:val="none" w:sz="0" w:space="0" w:color="auto"/>
        <w:left w:val="none" w:sz="0" w:space="0" w:color="auto"/>
        <w:bottom w:val="none" w:sz="0" w:space="0" w:color="auto"/>
        <w:right w:val="none" w:sz="0" w:space="0" w:color="auto"/>
      </w:divBdr>
    </w:div>
    <w:div w:id="645087404">
      <w:bodyDiv w:val="1"/>
      <w:marLeft w:val="0"/>
      <w:marRight w:val="0"/>
      <w:marTop w:val="0"/>
      <w:marBottom w:val="0"/>
      <w:divBdr>
        <w:top w:val="none" w:sz="0" w:space="0" w:color="auto"/>
        <w:left w:val="none" w:sz="0" w:space="0" w:color="auto"/>
        <w:bottom w:val="none" w:sz="0" w:space="0" w:color="auto"/>
        <w:right w:val="none" w:sz="0" w:space="0" w:color="auto"/>
      </w:divBdr>
    </w:div>
    <w:div w:id="650254253">
      <w:bodyDiv w:val="1"/>
      <w:marLeft w:val="0"/>
      <w:marRight w:val="0"/>
      <w:marTop w:val="0"/>
      <w:marBottom w:val="0"/>
      <w:divBdr>
        <w:top w:val="none" w:sz="0" w:space="0" w:color="auto"/>
        <w:left w:val="none" w:sz="0" w:space="0" w:color="auto"/>
        <w:bottom w:val="none" w:sz="0" w:space="0" w:color="auto"/>
        <w:right w:val="none" w:sz="0" w:space="0" w:color="auto"/>
      </w:divBdr>
    </w:div>
    <w:div w:id="652562187">
      <w:bodyDiv w:val="1"/>
      <w:marLeft w:val="0"/>
      <w:marRight w:val="0"/>
      <w:marTop w:val="0"/>
      <w:marBottom w:val="0"/>
      <w:divBdr>
        <w:top w:val="none" w:sz="0" w:space="0" w:color="auto"/>
        <w:left w:val="none" w:sz="0" w:space="0" w:color="auto"/>
        <w:bottom w:val="none" w:sz="0" w:space="0" w:color="auto"/>
        <w:right w:val="none" w:sz="0" w:space="0" w:color="auto"/>
      </w:divBdr>
    </w:div>
    <w:div w:id="653024851">
      <w:bodyDiv w:val="1"/>
      <w:marLeft w:val="0"/>
      <w:marRight w:val="0"/>
      <w:marTop w:val="0"/>
      <w:marBottom w:val="0"/>
      <w:divBdr>
        <w:top w:val="none" w:sz="0" w:space="0" w:color="auto"/>
        <w:left w:val="none" w:sz="0" w:space="0" w:color="auto"/>
        <w:bottom w:val="none" w:sz="0" w:space="0" w:color="auto"/>
        <w:right w:val="none" w:sz="0" w:space="0" w:color="auto"/>
      </w:divBdr>
    </w:div>
    <w:div w:id="657267774">
      <w:bodyDiv w:val="1"/>
      <w:marLeft w:val="0"/>
      <w:marRight w:val="0"/>
      <w:marTop w:val="0"/>
      <w:marBottom w:val="0"/>
      <w:divBdr>
        <w:top w:val="none" w:sz="0" w:space="0" w:color="auto"/>
        <w:left w:val="none" w:sz="0" w:space="0" w:color="auto"/>
        <w:bottom w:val="none" w:sz="0" w:space="0" w:color="auto"/>
        <w:right w:val="none" w:sz="0" w:space="0" w:color="auto"/>
      </w:divBdr>
    </w:div>
    <w:div w:id="657618318">
      <w:bodyDiv w:val="1"/>
      <w:marLeft w:val="0"/>
      <w:marRight w:val="0"/>
      <w:marTop w:val="0"/>
      <w:marBottom w:val="0"/>
      <w:divBdr>
        <w:top w:val="none" w:sz="0" w:space="0" w:color="auto"/>
        <w:left w:val="none" w:sz="0" w:space="0" w:color="auto"/>
        <w:bottom w:val="none" w:sz="0" w:space="0" w:color="auto"/>
        <w:right w:val="none" w:sz="0" w:space="0" w:color="auto"/>
      </w:divBdr>
    </w:div>
    <w:div w:id="664090132">
      <w:bodyDiv w:val="1"/>
      <w:marLeft w:val="0"/>
      <w:marRight w:val="0"/>
      <w:marTop w:val="0"/>
      <w:marBottom w:val="0"/>
      <w:divBdr>
        <w:top w:val="none" w:sz="0" w:space="0" w:color="auto"/>
        <w:left w:val="none" w:sz="0" w:space="0" w:color="auto"/>
        <w:bottom w:val="none" w:sz="0" w:space="0" w:color="auto"/>
        <w:right w:val="none" w:sz="0" w:space="0" w:color="auto"/>
      </w:divBdr>
    </w:div>
    <w:div w:id="665674139">
      <w:bodyDiv w:val="1"/>
      <w:marLeft w:val="0"/>
      <w:marRight w:val="0"/>
      <w:marTop w:val="0"/>
      <w:marBottom w:val="0"/>
      <w:divBdr>
        <w:top w:val="none" w:sz="0" w:space="0" w:color="auto"/>
        <w:left w:val="none" w:sz="0" w:space="0" w:color="auto"/>
        <w:bottom w:val="none" w:sz="0" w:space="0" w:color="auto"/>
        <w:right w:val="none" w:sz="0" w:space="0" w:color="auto"/>
      </w:divBdr>
    </w:div>
    <w:div w:id="669142721">
      <w:bodyDiv w:val="1"/>
      <w:marLeft w:val="0"/>
      <w:marRight w:val="0"/>
      <w:marTop w:val="0"/>
      <w:marBottom w:val="0"/>
      <w:divBdr>
        <w:top w:val="none" w:sz="0" w:space="0" w:color="auto"/>
        <w:left w:val="none" w:sz="0" w:space="0" w:color="auto"/>
        <w:bottom w:val="none" w:sz="0" w:space="0" w:color="auto"/>
        <w:right w:val="none" w:sz="0" w:space="0" w:color="auto"/>
      </w:divBdr>
    </w:div>
    <w:div w:id="669792313">
      <w:bodyDiv w:val="1"/>
      <w:marLeft w:val="0"/>
      <w:marRight w:val="0"/>
      <w:marTop w:val="0"/>
      <w:marBottom w:val="0"/>
      <w:divBdr>
        <w:top w:val="none" w:sz="0" w:space="0" w:color="auto"/>
        <w:left w:val="none" w:sz="0" w:space="0" w:color="auto"/>
        <w:bottom w:val="none" w:sz="0" w:space="0" w:color="auto"/>
        <w:right w:val="none" w:sz="0" w:space="0" w:color="auto"/>
      </w:divBdr>
    </w:div>
    <w:div w:id="671445959">
      <w:bodyDiv w:val="1"/>
      <w:marLeft w:val="0"/>
      <w:marRight w:val="0"/>
      <w:marTop w:val="0"/>
      <w:marBottom w:val="0"/>
      <w:divBdr>
        <w:top w:val="none" w:sz="0" w:space="0" w:color="auto"/>
        <w:left w:val="none" w:sz="0" w:space="0" w:color="auto"/>
        <w:bottom w:val="none" w:sz="0" w:space="0" w:color="auto"/>
        <w:right w:val="none" w:sz="0" w:space="0" w:color="auto"/>
      </w:divBdr>
    </w:div>
    <w:div w:id="674000235">
      <w:bodyDiv w:val="1"/>
      <w:marLeft w:val="0"/>
      <w:marRight w:val="0"/>
      <w:marTop w:val="0"/>
      <w:marBottom w:val="0"/>
      <w:divBdr>
        <w:top w:val="none" w:sz="0" w:space="0" w:color="auto"/>
        <w:left w:val="none" w:sz="0" w:space="0" w:color="auto"/>
        <w:bottom w:val="none" w:sz="0" w:space="0" w:color="auto"/>
        <w:right w:val="none" w:sz="0" w:space="0" w:color="auto"/>
      </w:divBdr>
    </w:div>
    <w:div w:id="674382592">
      <w:bodyDiv w:val="1"/>
      <w:marLeft w:val="0"/>
      <w:marRight w:val="0"/>
      <w:marTop w:val="0"/>
      <w:marBottom w:val="0"/>
      <w:divBdr>
        <w:top w:val="none" w:sz="0" w:space="0" w:color="auto"/>
        <w:left w:val="none" w:sz="0" w:space="0" w:color="auto"/>
        <w:bottom w:val="none" w:sz="0" w:space="0" w:color="auto"/>
        <w:right w:val="none" w:sz="0" w:space="0" w:color="auto"/>
      </w:divBdr>
    </w:div>
    <w:div w:id="676426197">
      <w:bodyDiv w:val="1"/>
      <w:marLeft w:val="0"/>
      <w:marRight w:val="0"/>
      <w:marTop w:val="0"/>
      <w:marBottom w:val="0"/>
      <w:divBdr>
        <w:top w:val="none" w:sz="0" w:space="0" w:color="auto"/>
        <w:left w:val="none" w:sz="0" w:space="0" w:color="auto"/>
        <w:bottom w:val="none" w:sz="0" w:space="0" w:color="auto"/>
        <w:right w:val="none" w:sz="0" w:space="0" w:color="auto"/>
      </w:divBdr>
    </w:div>
    <w:div w:id="677122765">
      <w:bodyDiv w:val="1"/>
      <w:marLeft w:val="0"/>
      <w:marRight w:val="0"/>
      <w:marTop w:val="0"/>
      <w:marBottom w:val="0"/>
      <w:divBdr>
        <w:top w:val="none" w:sz="0" w:space="0" w:color="auto"/>
        <w:left w:val="none" w:sz="0" w:space="0" w:color="auto"/>
        <w:bottom w:val="none" w:sz="0" w:space="0" w:color="auto"/>
        <w:right w:val="none" w:sz="0" w:space="0" w:color="auto"/>
      </w:divBdr>
    </w:div>
    <w:div w:id="679703585">
      <w:bodyDiv w:val="1"/>
      <w:marLeft w:val="0"/>
      <w:marRight w:val="0"/>
      <w:marTop w:val="0"/>
      <w:marBottom w:val="0"/>
      <w:divBdr>
        <w:top w:val="none" w:sz="0" w:space="0" w:color="auto"/>
        <w:left w:val="none" w:sz="0" w:space="0" w:color="auto"/>
        <w:bottom w:val="none" w:sz="0" w:space="0" w:color="auto"/>
        <w:right w:val="none" w:sz="0" w:space="0" w:color="auto"/>
      </w:divBdr>
    </w:div>
    <w:div w:id="683440685">
      <w:bodyDiv w:val="1"/>
      <w:marLeft w:val="0"/>
      <w:marRight w:val="0"/>
      <w:marTop w:val="0"/>
      <w:marBottom w:val="0"/>
      <w:divBdr>
        <w:top w:val="none" w:sz="0" w:space="0" w:color="auto"/>
        <w:left w:val="none" w:sz="0" w:space="0" w:color="auto"/>
        <w:bottom w:val="none" w:sz="0" w:space="0" w:color="auto"/>
        <w:right w:val="none" w:sz="0" w:space="0" w:color="auto"/>
      </w:divBdr>
    </w:div>
    <w:div w:id="694580110">
      <w:bodyDiv w:val="1"/>
      <w:marLeft w:val="0"/>
      <w:marRight w:val="0"/>
      <w:marTop w:val="0"/>
      <w:marBottom w:val="0"/>
      <w:divBdr>
        <w:top w:val="none" w:sz="0" w:space="0" w:color="auto"/>
        <w:left w:val="none" w:sz="0" w:space="0" w:color="auto"/>
        <w:bottom w:val="none" w:sz="0" w:space="0" w:color="auto"/>
        <w:right w:val="none" w:sz="0" w:space="0" w:color="auto"/>
      </w:divBdr>
    </w:div>
    <w:div w:id="694844811">
      <w:bodyDiv w:val="1"/>
      <w:marLeft w:val="0"/>
      <w:marRight w:val="0"/>
      <w:marTop w:val="0"/>
      <w:marBottom w:val="0"/>
      <w:divBdr>
        <w:top w:val="none" w:sz="0" w:space="0" w:color="auto"/>
        <w:left w:val="none" w:sz="0" w:space="0" w:color="auto"/>
        <w:bottom w:val="none" w:sz="0" w:space="0" w:color="auto"/>
        <w:right w:val="none" w:sz="0" w:space="0" w:color="auto"/>
      </w:divBdr>
    </w:div>
    <w:div w:id="696394650">
      <w:bodyDiv w:val="1"/>
      <w:marLeft w:val="0"/>
      <w:marRight w:val="0"/>
      <w:marTop w:val="0"/>
      <w:marBottom w:val="0"/>
      <w:divBdr>
        <w:top w:val="none" w:sz="0" w:space="0" w:color="auto"/>
        <w:left w:val="none" w:sz="0" w:space="0" w:color="auto"/>
        <w:bottom w:val="none" w:sz="0" w:space="0" w:color="auto"/>
        <w:right w:val="none" w:sz="0" w:space="0" w:color="auto"/>
      </w:divBdr>
    </w:div>
    <w:div w:id="696808900">
      <w:bodyDiv w:val="1"/>
      <w:marLeft w:val="0"/>
      <w:marRight w:val="0"/>
      <w:marTop w:val="0"/>
      <w:marBottom w:val="0"/>
      <w:divBdr>
        <w:top w:val="none" w:sz="0" w:space="0" w:color="auto"/>
        <w:left w:val="none" w:sz="0" w:space="0" w:color="auto"/>
        <w:bottom w:val="none" w:sz="0" w:space="0" w:color="auto"/>
        <w:right w:val="none" w:sz="0" w:space="0" w:color="auto"/>
      </w:divBdr>
    </w:div>
    <w:div w:id="698360324">
      <w:bodyDiv w:val="1"/>
      <w:marLeft w:val="0"/>
      <w:marRight w:val="0"/>
      <w:marTop w:val="0"/>
      <w:marBottom w:val="0"/>
      <w:divBdr>
        <w:top w:val="none" w:sz="0" w:space="0" w:color="auto"/>
        <w:left w:val="none" w:sz="0" w:space="0" w:color="auto"/>
        <w:bottom w:val="none" w:sz="0" w:space="0" w:color="auto"/>
        <w:right w:val="none" w:sz="0" w:space="0" w:color="auto"/>
      </w:divBdr>
    </w:div>
    <w:div w:id="700935549">
      <w:bodyDiv w:val="1"/>
      <w:marLeft w:val="0"/>
      <w:marRight w:val="0"/>
      <w:marTop w:val="0"/>
      <w:marBottom w:val="0"/>
      <w:divBdr>
        <w:top w:val="none" w:sz="0" w:space="0" w:color="auto"/>
        <w:left w:val="none" w:sz="0" w:space="0" w:color="auto"/>
        <w:bottom w:val="none" w:sz="0" w:space="0" w:color="auto"/>
        <w:right w:val="none" w:sz="0" w:space="0" w:color="auto"/>
      </w:divBdr>
    </w:div>
    <w:div w:id="704333412">
      <w:bodyDiv w:val="1"/>
      <w:marLeft w:val="0"/>
      <w:marRight w:val="0"/>
      <w:marTop w:val="0"/>
      <w:marBottom w:val="0"/>
      <w:divBdr>
        <w:top w:val="none" w:sz="0" w:space="0" w:color="auto"/>
        <w:left w:val="none" w:sz="0" w:space="0" w:color="auto"/>
        <w:bottom w:val="none" w:sz="0" w:space="0" w:color="auto"/>
        <w:right w:val="none" w:sz="0" w:space="0" w:color="auto"/>
      </w:divBdr>
    </w:div>
    <w:div w:id="707417244">
      <w:bodyDiv w:val="1"/>
      <w:marLeft w:val="0"/>
      <w:marRight w:val="0"/>
      <w:marTop w:val="0"/>
      <w:marBottom w:val="0"/>
      <w:divBdr>
        <w:top w:val="none" w:sz="0" w:space="0" w:color="auto"/>
        <w:left w:val="none" w:sz="0" w:space="0" w:color="auto"/>
        <w:bottom w:val="none" w:sz="0" w:space="0" w:color="auto"/>
        <w:right w:val="none" w:sz="0" w:space="0" w:color="auto"/>
      </w:divBdr>
    </w:div>
    <w:div w:id="712922594">
      <w:bodyDiv w:val="1"/>
      <w:marLeft w:val="0"/>
      <w:marRight w:val="0"/>
      <w:marTop w:val="0"/>
      <w:marBottom w:val="0"/>
      <w:divBdr>
        <w:top w:val="none" w:sz="0" w:space="0" w:color="auto"/>
        <w:left w:val="none" w:sz="0" w:space="0" w:color="auto"/>
        <w:bottom w:val="none" w:sz="0" w:space="0" w:color="auto"/>
        <w:right w:val="none" w:sz="0" w:space="0" w:color="auto"/>
      </w:divBdr>
    </w:div>
    <w:div w:id="719019386">
      <w:bodyDiv w:val="1"/>
      <w:marLeft w:val="0"/>
      <w:marRight w:val="0"/>
      <w:marTop w:val="0"/>
      <w:marBottom w:val="0"/>
      <w:divBdr>
        <w:top w:val="none" w:sz="0" w:space="0" w:color="auto"/>
        <w:left w:val="none" w:sz="0" w:space="0" w:color="auto"/>
        <w:bottom w:val="none" w:sz="0" w:space="0" w:color="auto"/>
        <w:right w:val="none" w:sz="0" w:space="0" w:color="auto"/>
      </w:divBdr>
    </w:div>
    <w:div w:id="720521283">
      <w:bodyDiv w:val="1"/>
      <w:marLeft w:val="0"/>
      <w:marRight w:val="0"/>
      <w:marTop w:val="0"/>
      <w:marBottom w:val="0"/>
      <w:divBdr>
        <w:top w:val="none" w:sz="0" w:space="0" w:color="auto"/>
        <w:left w:val="none" w:sz="0" w:space="0" w:color="auto"/>
        <w:bottom w:val="none" w:sz="0" w:space="0" w:color="auto"/>
        <w:right w:val="none" w:sz="0" w:space="0" w:color="auto"/>
      </w:divBdr>
    </w:div>
    <w:div w:id="723984841">
      <w:bodyDiv w:val="1"/>
      <w:marLeft w:val="0"/>
      <w:marRight w:val="0"/>
      <w:marTop w:val="0"/>
      <w:marBottom w:val="0"/>
      <w:divBdr>
        <w:top w:val="none" w:sz="0" w:space="0" w:color="auto"/>
        <w:left w:val="none" w:sz="0" w:space="0" w:color="auto"/>
        <w:bottom w:val="none" w:sz="0" w:space="0" w:color="auto"/>
        <w:right w:val="none" w:sz="0" w:space="0" w:color="auto"/>
      </w:divBdr>
    </w:div>
    <w:div w:id="725488305">
      <w:bodyDiv w:val="1"/>
      <w:marLeft w:val="0"/>
      <w:marRight w:val="0"/>
      <w:marTop w:val="0"/>
      <w:marBottom w:val="0"/>
      <w:divBdr>
        <w:top w:val="none" w:sz="0" w:space="0" w:color="auto"/>
        <w:left w:val="none" w:sz="0" w:space="0" w:color="auto"/>
        <w:bottom w:val="none" w:sz="0" w:space="0" w:color="auto"/>
        <w:right w:val="none" w:sz="0" w:space="0" w:color="auto"/>
      </w:divBdr>
    </w:div>
    <w:div w:id="730233342">
      <w:bodyDiv w:val="1"/>
      <w:marLeft w:val="0"/>
      <w:marRight w:val="0"/>
      <w:marTop w:val="0"/>
      <w:marBottom w:val="0"/>
      <w:divBdr>
        <w:top w:val="none" w:sz="0" w:space="0" w:color="auto"/>
        <w:left w:val="none" w:sz="0" w:space="0" w:color="auto"/>
        <w:bottom w:val="none" w:sz="0" w:space="0" w:color="auto"/>
        <w:right w:val="none" w:sz="0" w:space="0" w:color="auto"/>
      </w:divBdr>
    </w:div>
    <w:div w:id="735012540">
      <w:bodyDiv w:val="1"/>
      <w:marLeft w:val="0"/>
      <w:marRight w:val="0"/>
      <w:marTop w:val="0"/>
      <w:marBottom w:val="0"/>
      <w:divBdr>
        <w:top w:val="none" w:sz="0" w:space="0" w:color="auto"/>
        <w:left w:val="none" w:sz="0" w:space="0" w:color="auto"/>
        <w:bottom w:val="none" w:sz="0" w:space="0" w:color="auto"/>
        <w:right w:val="none" w:sz="0" w:space="0" w:color="auto"/>
      </w:divBdr>
    </w:div>
    <w:div w:id="738135539">
      <w:bodyDiv w:val="1"/>
      <w:marLeft w:val="0"/>
      <w:marRight w:val="0"/>
      <w:marTop w:val="0"/>
      <w:marBottom w:val="0"/>
      <w:divBdr>
        <w:top w:val="none" w:sz="0" w:space="0" w:color="auto"/>
        <w:left w:val="none" w:sz="0" w:space="0" w:color="auto"/>
        <w:bottom w:val="none" w:sz="0" w:space="0" w:color="auto"/>
        <w:right w:val="none" w:sz="0" w:space="0" w:color="auto"/>
      </w:divBdr>
    </w:div>
    <w:div w:id="742987778">
      <w:bodyDiv w:val="1"/>
      <w:marLeft w:val="0"/>
      <w:marRight w:val="0"/>
      <w:marTop w:val="0"/>
      <w:marBottom w:val="0"/>
      <w:divBdr>
        <w:top w:val="none" w:sz="0" w:space="0" w:color="auto"/>
        <w:left w:val="none" w:sz="0" w:space="0" w:color="auto"/>
        <w:bottom w:val="none" w:sz="0" w:space="0" w:color="auto"/>
        <w:right w:val="none" w:sz="0" w:space="0" w:color="auto"/>
      </w:divBdr>
    </w:div>
    <w:div w:id="743336450">
      <w:bodyDiv w:val="1"/>
      <w:marLeft w:val="0"/>
      <w:marRight w:val="0"/>
      <w:marTop w:val="0"/>
      <w:marBottom w:val="0"/>
      <w:divBdr>
        <w:top w:val="none" w:sz="0" w:space="0" w:color="auto"/>
        <w:left w:val="none" w:sz="0" w:space="0" w:color="auto"/>
        <w:bottom w:val="none" w:sz="0" w:space="0" w:color="auto"/>
        <w:right w:val="none" w:sz="0" w:space="0" w:color="auto"/>
      </w:divBdr>
    </w:div>
    <w:div w:id="745490588">
      <w:bodyDiv w:val="1"/>
      <w:marLeft w:val="0"/>
      <w:marRight w:val="0"/>
      <w:marTop w:val="0"/>
      <w:marBottom w:val="0"/>
      <w:divBdr>
        <w:top w:val="none" w:sz="0" w:space="0" w:color="auto"/>
        <w:left w:val="none" w:sz="0" w:space="0" w:color="auto"/>
        <w:bottom w:val="none" w:sz="0" w:space="0" w:color="auto"/>
        <w:right w:val="none" w:sz="0" w:space="0" w:color="auto"/>
      </w:divBdr>
    </w:div>
    <w:div w:id="749697775">
      <w:bodyDiv w:val="1"/>
      <w:marLeft w:val="0"/>
      <w:marRight w:val="0"/>
      <w:marTop w:val="0"/>
      <w:marBottom w:val="0"/>
      <w:divBdr>
        <w:top w:val="none" w:sz="0" w:space="0" w:color="auto"/>
        <w:left w:val="none" w:sz="0" w:space="0" w:color="auto"/>
        <w:bottom w:val="none" w:sz="0" w:space="0" w:color="auto"/>
        <w:right w:val="none" w:sz="0" w:space="0" w:color="auto"/>
      </w:divBdr>
    </w:div>
    <w:div w:id="749812430">
      <w:bodyDiv w:val="1"/>
      <w:marLeft w:val="0"/>
      <w:marRight w:val="0"/>
      <w:marTop w:val="0"/>
      <w:marBottom w:val="0"/>
      <w:divBdr>
        <w:top w:val="none" w:sz="0" w:space="0" w:color="auto"/>
        <w:left w:val="none" w:sz="0" w:space="0" w:color="auto"/>
        <w:bottom w:val="none" w:sz="0" w:space="0" w:color="auto"/>
        <w:right w:val="none" w:sz="0" w:space="0" w:color="auto"/>
      </w:divBdr>
    </w:div>
    <w:div w:id="750810953">
      <w:bodyDiv w:val="1"/>
      <w:marLeft w:val="0"/>
      <w:marRight w:val="0"/>
      <w:marTop w:val="0"/>
      <w:marBottom w:val="0"/>
      <w:divBdr>
        <w:top w:val="none" w:sz="0" w:space="0" w:color="auto"/>
        <w:left w:val="none" w:sz="0" w:space="0" w:color="auto"/>
        <w:bottom w:val="none" w:sz="0" w:space="0" w:color="auto"/>
        <w:right w:val="none" w:sz="0" w:space="0" w:color="auto"/>
      </w:divBdr>
    </w:div>
    <w:div w:id="754669791">
      <w:bodyDiv w:val="1"/>
      <w:marLeft w:val="0"/>
      <w:marRight w:val="0"/>
      <w:marTop w:val="0"/>
      <w:marBottom w:val="0"/>
      <w:divBdr>
        <w:top w:val="none" w:sz="0" w:space="0" w:color="auto"/>
        <w:left w:val="none" w:sz="0" w:space="0" w:color="auto"/>
        <w:bottom w:val="none" w:sz="0" w:space="0" w:color="auto"/>
        <w:right w:val="none" w:sz="0" w:space="0" w:color="auto"/>
      </w:divBdr>
    </w:div>
    <w:div w:id="763038707">
      <w:bodyDiv w:val="1"/>
      <w:marLeft w:val="0"/>
      <w:marRight w:val="0"/>
      <w:marTop w:val="0"/>
      <w:marBottom w:val="0"/>
      <w:divBdr>
        <w:top w:val="none" w:sz="0" w:space="0" w:color="auto"/>
        <w:left w:val="none" w:sz="0" w:space="0" w:color="auto"/>
        <w:bottom w:val="none" w:sz="0" w:space="0" w:color="auto"/>
        <w:right w:val="none" w:sz="0" w:space="0" w:color="auto"/>
      </w:divBdr>
    </w:div>
    <w:div w:id="768698537">
      <w:bodyDiv w:val="1"/>
      <w:marLeft w:val="0"/>
      <w:marRight w:val="0"/>
      <w:marTop w:val="0"/>
      <w:marBottom w:val="0"/>
      <w:divBdr>
        <w:top w:val="none" w:sz="0" w:space="0" w:color="auto"/>
        <w:left w:val="none" w:sz="0" w:space="0" w:color="auto"/>
        <w:bottom w:val="none" w:sz="0" w:space="0" w:color="auto"/>
        <w:right w:val="none" w:sz="0" w:space="0" w:color="auto"/>
      </w:divBdr>
    </w:div>
    <w:div w:id="769281118">
      <w:bodyDiv w:val="1"/>
      <w:marLeft w:val="0"/>
      <w:marRight w:val="0"/>
      <w:marTop w:val="0"/>
      <w:marBottom w:val="0"/>
      <w:divBdr>
        <w:top w:val="none" w:sz="0" w:space="0" w:color="auto"/>
        <w:left w:val="none" w:sz="0" w:space="0" w:color="auto"/>
        <w:bottom w:val="none" w:sz="0" w:space="0" w:color="auto"/>
        <w:right w:val="none" w:sz="0" w:space="0" w:color="auto"/>
      </w:divBdr>
    </w:div>
    <w:div w:id="770316021">
      <w:bodyDiv w:val="1"/>
      <w:marLeft w:val="0"/>
      <w:marRight w:val="0"/>
      <w:marTop w:val="0"/>
      <w:marBottom w:val="0"/>
      <w:divBdr>
        <w:top w:val="none" w:sz="0" w:space="0" w:color="auto"/>
        <w:left w:val="none" w:sz="0" w:space="0" w:color="auto"/>
        <w:bottom w:val="none" w:sz="0" w:space="0" w:color="auto"/>
        <w:right w:val="none" w:sz="0" w:space="0" w:color="auto"/>
      </w:divBdr>
    </w:div>
    <w:div w:id="770320157">
      <w:bodyDiv w:val="1"/>
      <w:marLeft w:val="0"/>
      <w:marRight w:val="0"/>
      <w:marTop w:val="0"/>
      <w:marBottom w:val="0"/>
      <w:divBdr>
        <w:top w:val="none" w:sz="0" w:space="0" w:color="auto"/>
        <w:left w:val="none" w:sz="0" w:space="0" w:color="auto"/>
        <w:bottom w:val="none" w:sz="0" w:space="0" w:color="auto"/>
        <w:right w:val="none" w:sz="0" w:space="0" w:color="auto"/>
      </w:divBdr>
    </w:div>
    <w:div w:id="770467179">
      <w:bodyDiv w:val="1"/>
      <w:marLeft w:val="0"/>
      <w:marRight w:val="0"/>
      <w:marTop w:val="0"/>
      <w:marBottom w:val="0"/>
      <w:divBdr>
        <w:top w:val="none" w:sz="0" w:space="0" w:color="auto"/>
        <w:left w:val="none" w:sz="0" w:space="0" w:color="auto"/>
        <w:bottom w:val="none" w:sz="0" w:space="0" w:color="auto"/>
        <w:right w:val="none" w:sz="0" w:space="0" w:color="auto"/>
      </w:divBdr>
    </w:div>
    <w:div w:id="770970377">
      <w:bodyDiv w:val="1"/>
      <w:marLeft w:val="0"/>
      <w:marRight w:val="0"/>
      <w:marTop w:val="0"/>
      <w:marBottom w:val="0"/>
      <w:divBdr>
        <w:top w:val="none" w:sz="0" w:space="0" w:color="auto"/>
        <w:left w:val="none" w:sz="0" w:space="0" w:color="auto"/>
        <w:bottom w:val="none" w:sz="0" w:space="0" w:color="auto"/>
        <w:right w:val="none" w:sz="0" w:space="0" w:color="auto"/>
      </w:divBdr>
    </w:div>
    <w:div w:id="779685225">
      <w:bodyDiv w:val="1"/>
      <w:marLeft w:val="0"/>
      <w:marRight w:val="0"/>
      <w:marTop w:val="0"/>
      <w:marBottom w:val="0"/>
      <w:divBdr>
        <w:top w:val="none" w:sz="0" w:space="0" w:color="auto"/>
        <w:left w:val="none" w:sz="0" w:space="0" w:color="auto"/>
        <w:bottom w:val="none" w:sz="0" w:space="0" w:color="auto"/>
        <w:right w:val="none" w:sz="0" w:space="0" w:color="auto"/>
      </w:divBdr>
    </w:div>
    <w:div w:id="783614411">
      <w:bodyDiv w:val="1"/>
      <w:marLeft w:val="0"/>
      <w:marRight w:val="0"/>
      <w:marTop w:val="0"/>
      <w:marBottom w:val="0"/>
      <w:divBdr>
        <w:top w:val="none" w:sz="0" w:space="0" w:color="auto"/>
        <w:left w:val="none" w:sz="0" w:space="0" w:color="auto"/>
        <w:bottom w:val="none" w:sz="0" w:space="0" w:color="auto"/>
        <w:right w:val="none" w:sz="0" w:space="0" w:color="auto"/>
      </w:divBdr>
    </w:div>
    <w:div w:id="783697727">
      <w:bodyDiv w:val="1"/>
      <w:marLeft w:val="0"/>
      <w:marRight w:val="0"/>
      <w:marTop w:val="0"/>
      <w:marBottom w:val="0"/>
      <w:divBdr>
        <w:top w:val="none" w:sz="0" w:space="0" w:color="auto"/>
        <w:left w:val="none" w:sz="0" w:space="0" w:color="auto"/>
        <w:bottom w:val="none" w:sz="0" w:space="0" w:color="auto"/>
        <w:right w:val="none" w:sz="0" w:space="0" w:color="auto"/>
      </w:divBdr>
    </w:div>
    <w:div w:id="787744955">
      <w:bodyDiv w:val="1"/>
      <w:marLeft w:val="0"/>
      <w:marRight w:val="0"/>
      <w:marTop w:val="0"/>
      <w:marBottom w:val="0"/>
      <w:divBdr>
        <w:top w:val="none" w:sz="0" w:space="0" w:color="auto"/>
        <w:left w:val="none" w:sz="0" w:space="0" w:color="auto"/>
        <w:bottom w:val="none" w:sz="0" w:space="0" w:color="auto"/>
        <w:right w:val="none" w:sz="0" w:space="0" w:color="auto"/>
      </w:divBdr>
    </w:div>
    <w:div w:id="788008778">
      <w:bodyDiv w:val="1"/>
      <w:marLeft w:val="0"/>
      <w:marRight w:val="0"/>
      <w:marTop w:val="0"/>
      <w:marBottom w:val="0"/>
      <w:divBdr>
        <w:top w:val="none" w:sz="0" w:space="0" w:color="auto"/>
        <w:left w:val="none" w:sz="0" w:space="0" w:color="auto"/>
        <w:bottom w:val="none" w:sz="0" w:space="0" w:color="auto"/>
        <w:right w:val="none" w:sz="0" w:space="0" w:color="auto"/>
      </w:divBdr>
    </w:div>
    <w:div w:id="790898574">
      <w:bodyDiv w:val="1"/>
      <w:marLeft w:val="0"/>
      <w:marRight w:val="0"/>
      <w:marTop w:val="0"/>
      <w:marBottom w:val="0"/>
      <w:divBdr>
        <w:top w:val="none" w:sz="0" w:space="0" w:color="auto"/>
        <w:left w:val="none" w:sz="0" w:space="0" w:color="auto"/>
        <w:bottom w:val="none" w:sz="0" w:space="0" w:color="auto"/>
        <w:right w:val="none" w:sz="0" w:space="0" w:color="auto"/>
      </w:divBdr>
    </w:div>
    <w:div w:id="791171554">
      <w:bodyDiv w:val="1"/>
      <w:marLeft w:val="0"/>
      <w:marRight w:val="0"/>
      <w:marTop w:val="0"/>
      <w:marBottom w:val="0"/>
      <w:divBdr>
        <w:top w:val="none" w:sz="0" w:space="0" w:color="auto"/>
        <w:left w:val="none" w:sz="0" w:space="0" w:color="auto"/>
        <w:bottom w:val="none" w:sz="0" w:space="0" w:color="auto"/>
        <w:right w:val="none" w:sz="0" w:space="0" w:color="auto"/>
      </w:divBdr>
    </w:div>
    <w:div w:id="798457695">
      <w:bodyDiv w:val="1"/>
      <w:marLeft w:val="0"/>
      <w:marRight w:val="0"/>
      <w:marTop w:val="0"/>
      <w:marBottom w:val="0"/>
      <w:divBdr>
        <w:top w:val="none" w:sz="0" w:space="0" w:color="auto"/>
        <w:left w:val="none" w:sz="0" w:space="0" w:color="auto"/>
        <w:bottom w:val="none" w:sz="0" w:space="0" w:color="auto"/>
        <w:right w:val="none" w:sz="0" w:space="0" w:color="auto"/>
      </w:divBdr>
    </w:div>
    <w:div w:id="803162011">
      <w:bodyDiv w:val="1"/>
      <w:marLeft w:val="0"/>
      <w:marRight w:val="0"/>
      <w:marTop w:val="0"/>
      <w:marBottom w:val="0"/>
      <w:divBdr>
        <w:top w:val="none" w:sz="0" w:space="0" w:color="auto"/>
        <w:left w:val="none" w:sz="0" w:space="0" w:color="auto"/>
        <w:bottom w:val="none" w:sz="0" w:space="0" w:color="auto"/>
        <w:right w:val="none" w:sz="0" w:space="0" w:color="auto"/>
      </w:divBdr>
    </w:div>
    <w:div w:id="807821620">
      <w:bodyDiv w:val="1"/>
      <w:marLeft w:val="0"/>
      <w:marRight w:val="0"/>
      <w:marTop w:val="0"/>
      <w:marBottom w:val="0"/>
      <w:divBdr>
        <w:top w:val="none" w:sz="0" w:space="0" w:color="auto"/>
        <w:left w:val="none" w:sz="0" w:space="0" w:color="auto"/>
        <w:bottom w:val="none" w:sz="0" w:space="0" w:color="auto"/>
        <w:right w:val="none" w:sz="0" w:space="0" w:color="auto"/>
      </w:divBdr>
    </w:div>
    <w:div w:id="808285165">
      <w:bodyDiv w:val="1"/>
      <w:marLeft w:val="0"/>
      <w:marRight w:val="0"/>
      <w:marTop w:val="0"/>
      <w:marBottom w:val="0"/>
      <w:divBdr>
        <w:top w:val="none" w:sz="0" w:space="0" w:color="auto"/>
        <w:left w:val="none" w:sz="0" w:space="0" w:color="auto"/>
        <w:bottom w:val="none" w:sz="0" w:space="0" w:color="auto"/>
        <w:right w:val="none" w:sz="0" w:space="0" w:color="auto"/>
      </w:divBdr>
    </w:div>
    <w:div w:id="810244832">
      <w:bodyDiv w:val="1"/>
      <w:marLeft w:val="0"/>
      <w:marRight w:val="0"/>
      <w:marTop w:val="0"/>
      <w:marBottom w:val="0"/>
      <w:divBdr>
        <w:top w:val="none" w:sz="0" w:space="0" w:color="auto"/>
        <w:left w:val="none" w:sz="0" w:space="0" w:color="auto"/>
        <w:bottom w:val="none" w:sz="0" w:space="0" w:color="auto"/>
        <w:right w:val="none" w:sz="0" w:space="0" w:color="auto"/>
      </w:divBdr>
    </w:div>
    <w:div w:id="811797253">
      <w:bodyDiv w:val="1"/>
      <w:marLeft w:val="0"/>
      <w:marRight w:val="0"/>
      <w:marTop w:val="0"/>
      <w:marBottom w:val="0"/>
      <w:divBdr>
        <w:top w:val="none" w:sz="0" w:space="0" w:color="auto"/>
        <w:left w:val="none" w:sz="0" w:space="0" w:color="auto"/>
        <w:bottom w:val="none" w:sz="0" w:space="0" w:color="auto"/>
        <w:right w:val="none" w:sz="0" w:space="0" w:color="auto"/>
      </w:divBdr>
    </w:div>
    <w:div w:id="815730515">
      <w:bodyDiv w:val="1"/>
      <w:marLeft w:val="0"/>
      <w:marRight w:val="0"/>
      <w:marTop w:val="0"/>
      <w:marBottom w:val="0"/>
      <w:divBdr>
        <w:top w:val="none" w:sz="0" w:space="0" w:color="auto"/>
        <w:left w:val="none" w:sz="0" w:space="0" w:color="auto"/>
        <w:bottom w:val="none" w:sz="0" w:space="0" w:color="auto"/>
        <w:right w:val="none" w:sz="0" w:space="0" w:color="auto"/>
      </w:divBdr>
    </w:div>
    <w:div w:id="821771487">
      <w:bodyDiv w:val="1"/>
      <w:marLeft w:val="0"/>
      <w:marRight w:val="0"/>
      <w:marTop w:val="0"/>
      <w:marBottom w:val="0"/>
      <w:divBdr>
        <w:top w:val="none" w:sz="0" w:space="0" w:color="auto"/>
        <w:left w:val="none" w:sz="0" w:space="0" w:color="auto"/>
        <w:bottom w:val="none" w:sz="0" w:space="0" w:color="auto"/>
        <w:right w:val="none" w:sz="0" w:space="0" w:color="auto"/>
      </w:divBdr>
    </w:div>
    <w:div w:id="822353108">
      <w:bodyDiv w:val="1"/>
      <w:marLeft w:val="0"/>
      <w:marRight w:val="0"/>
      <w:marTop w:val="0"/>
      <w:marBottom w:val="0"/>
      <w:divBdr>
        <w:top w:val="none" w:sz="0" w:space="0" w:color="auto"/>
        <w:left w:val="none" w:sz="0" w:space="0" w:color="auto"/>
        <w:bottom w:val="none" w:sz="0" w:space="0" w:color="auto"/>
        <w:right w:val="none" w:sz="0" w:space="0" w:color="auto"/>
      </w:divBdr>
    </w:div>
    <w:div w:id="825704783">
      <w:bodyDiv w:val="1"/>
      <w:marLeft w:val="0"/>
      <w:marRight w:val="0"/>
      <w:marTop w:val="0"/>
      <w:marBottom w:val="0"/>
      <w:divBdr>
        <w:top w:val="none" w:sz="0" w:space="0" w:color="auto"/>
        <w:left w:val="none" w:sz="0" w:space="0" w:color="auto"/>
        <w:bottom w:val="none" w:sz="0" w:space="0" w:color="auto"/>
        <w:right w:val="none" w:sz="0" w:space="0" w:color="auto"/>
      </w:divBdr>
    </w:div>
    <w:div w:id="826945547">
      <w:bodyDiv w:val="1"/>
      <w:marLeft w:val="0"/>
      <w:marRight w:val="0"/>
      <w:marTop w:val="0"/>
      <w:marBottom w:val="0"/>
      <w:divBdr>
        <w:top w:val="none" w:sz="0" w:space="0" w:color="auto"/>
        <w:left w:val="none" w:sz="0" w:space="0" w:color="auto"/>
        <w:bottom w:val="none" w:sz="0" w:space="0" w:color="auto"/>
        <w:right w:val="none" w:sz="0" w:space="0" w:color="auto"/>
      </w:divBdr>
    </w:div>
    <w:div w:id="832455415">
      <w:bodyDiv w:val="1"/>
      <w:marLeft w:val="0"/>
      <w:marRight w:val="0"/>
      <w:marTop w:val="0"/>
      <w:marBottom w:val="0"/>
      <w:divBdr>
        <w:top w:val="none" w:sz="0" w:space="0" w:color="auto"/>
        <w:left w:val="none" w:sz="0" w:space="0" w:color="auto"/>
        <w:bottom w:val="none" w:sz="0" w:space="0" w:color="auto"/>
        <w:right w:val="none" w:sz="0" w:space="0" w:color="auto"/>
      </w:divBdr>
    </w:div>
    <w:div w:id="832843295">
      <w:bodyDiv w:val="1"/>
      <w:marLeft w:val="0"/>
      <w:marRight w:val="0"/>
      <w:marTop w:val="0"/>
      <w:marBottom w:val="0"/>
      <w:divBdr>
        <w:top w:val="none" w:sz="0" w:space="0" w:color="auto"/>
        <w:left w:val="none" w:sz="0" w:space="0" w:color="auto"/>
        <w:bottom w:val="none" w:sz="0" w:space="0" w:color="auto"/>
        <w:right w:val="none" w:sz="0" w:space="0" w:color="auto"/>
      </w:divBdr>
    </w:div>
    <w:div w:id="834303386">
      <w:bodyDiv w:val="1"/>
      <w:marLeft w:val="0"/>
      <w:marRight w:val="0"/>
      <w:marTop w:val="0"/>
      <w:marBottom w:val="0"/>
      <w:divBdr>
        <w:top w:val="none" w:sz="0" w:space="0" w:color="auto"/>
        <w:left w:val="none" w:sz="0" w:space="0" w:color="auto"/>
        <w:bottom w:val="none" w:sz="0" w:space="0" w:color="auto"/>
        <w:right w:val="none" w:sz="0" w:space="0" w:color="auto"/>
      </w:divBdr>
    </w:div>
    <w:div w:id="838160862">
      <w:bodyDiv w:val="1"/>
      <w:marLeft w:val="0"/>
      <w:marRight w:val="0"/>
      <w:marTop w:val="0"/>
      <w:marBottom w:val="0"/>
      <w:divBdr>
        <w:top w:val="none" w:sz="0" w:space="0" w:color="auto"/>
        <w:left w:val="none" w:sz="0" w:space="0" w:color="auto"/>
        <w:bottom w:val="none" w:sz="0" w:space="0" w:color="auto"/>
        <w:right w:val="none" w:sz="0" w:space="0" w:color="auto"/>
      </w:divBdr>
    </w:div>
    <w:div w:id="843206656">
      <w:bodyDiv w:val="1"/>
      <w:marLeft w:val="0"/>
      <w:marRight w:val="0"/>
      <w:marTop w:val="0"/>
      <w:marBottom w:val="0"/>
      <w:divBdr>
        <w:top w:val="none" w:sz="0" w:space="0" w:color="auto"/>
        <w:left w:val="none" w:sz="0" w:space="0" w:color="auto"/>
        <w:bottom w:val="none" w:sz="0" w:space="0" w:color="auto"/>
        <w:right w:val="none" w:sz="0" w:space="0" w:color="auto"/>
      </w:divBdr>
    </w:div>
    <w:div w:id="846017536">
      <w:bodyDiv w:val="1"/>
      <w:marLeft w:val="0"/>
      <w:marRight w:val="0"/>
      <w:marTop w:val="0"/>
      <w:marBottom w:val="0"/>
      <w:divBdr>
        <w:top w:val="none" w:sz="0" w:space="0" w:color="auto"/>
        <w:left w:val="none" w:sz="0" w:space="0" w:color="auto"/>
        <w:bottom w:val="none" w:sz="0" w:space="0" w:color="auto"/>
        <w:right w:val="none" w:sz="0" w:space="0" w:color="auto"/>
      </w:divBdr>
    </w:div>
    <w:div w:id="853109155">
      <w:bodyDiv w:val="1"/>
      <w:marLeft w:val="0"/>
      <w:marRight w:val="0"/>
      <w:marTop w:val="0"/>
      <w:marBottom w:val="0"/>
      <w:divBdr>
        <w:top w:val="none" w:sz="0" w:space="0" w:color="auto"/>
        <w:left w:val="none" w:sz="0" w:space="0" w:color="auto"/>
        <w:bottom w:val="none" w:sz="0" w:space="0" w:color="auto"/>
        <w:right w:val="none" w:sz="0" w:space="0" w:color="auto"/>
      </w:divBdr>
    </w:div>
    <w:div w:id="859128550">
      <w:bodyDiv w:val="1"/>
      <w:marLeft w:val="0"/>
      <w:marRight w:val="0"/>
      <w:marTop w:val="0"/>
      <w:marBottom w:val="0"/>
      <w:divBdr>
        <w:top w:val="none" w:sz="0" w:space="0" w:color="auto"/>
        <w:left w:val="none" w:sz="0" w:space="0" w:color="auto"/>
        <w:bottom w:val="none" w:sz="0" w:space="0" w:color="auto"/>
        <w:right w:val="none" w:sz="0" w:space="0" w:color="auto"/>
      </w:divBdr>
    </w:div>
    <w:div w:id="863831334">
      <w:bodyDiv w:val="1"/>
      <w:marLeft w:val="0"/>
      <w:marRight w:val="0"/>
      <w:marTop w:val="0"/>
      <w:marBottom w:val="0"/>
      <w:divBdr>
        <w:top w:val="none" w:sz="0" w:space="0" w:color="auto"/>
        <w:left w:val="none" w:sz="0" w:space="0" w:color="auto"/>
        <w:bottom w:val="none" w:sz="0" w:space="0" w:color="auto"/>
        <w:right w:val="none" w:sz="0" w:space="0" w:color="auto"/>
      </w:divBdr>
    </w:div>
    <w:div w:id="869144090">
      <w:bodyDiv w:val="1"/>
      <w:marLeft w:val="0"/>
      <w:marRight w:val="0"/>
      <w:marTop w:val="0"/>
      <w:marBottom w:val="0"/>
      <w:divBdr>
        <w:top w:val="none" w:sz="0" w:space="0" w:color="auto"/>
        <w:left w:val="none" w:sz="0" w:space="0" w:color="auto"/>
        <w:bottom w:val="none" w:sz="0" w:space="0" w:color="auto"/>
        <w:right w:val="none" w:sz="0" w:space="0" w:color="auto"/>
      </w:divBdr>
    </w:div>
    <w:div w:id="871498765">
      <w:bodyDiv w:val="1"/>
      <w:marLeft w:val="0"/>
      <w:marRight w:val="0"/>
      <w:marTop w:val="0"/>
      <w:marBottom w:val="0"/>
      <w:divBdr>
        <w:top w:val="none" w:sz="0" w:space="0" w:color="auto"/>
        <w:left w:val="none" w:sz="0" w:space="0" w:color="auto"/>
        <w:bottom w:val="none" w:sz="0" w:space="0" w:color="auto"/>
        <w:right w:val="none" w:sz="0" w:space="0" w:color="auto"/>
      </w:divBdr>
    </w:div>
    <w:div w:id="876821422">
      <w:bodyDiv w:val="1"/>
      <w:marLeft w:val="0"/>
      <w:marRight w:val="0"/>
      <w:marTop w:val="0"/>
      <w:marBottom w:val="0"/>
      <w:divBdr>
        <w:top w:val="none" w:sz="0" w:space="0" w:color="auto"/>
        <w:left w:val="none" w:sz="0" w:space="0" w:color="auto"/>
        <w:bottom w:val="none" w:sz="0" w:space="0" w:color="auto"/>
        <w:right w:val="none" w:sz="0" w:space="0" w:color="auto"/>
      </w:divBdr>
    </w:div>
    <w:div w:id="879781991">
      <w:bodyDiv w:val="1"/>
      <w:marLeft w:val="0"/>
      <w:marRight w:val="0"/>
      <w:marTop w:val="0"/>
      <w:marBottom w:val="0"/>
      <w:divBdr>
        <w:top w:val="none" w:sz="0" w:space="0" w:color="auto"/>
        <w:left w:val="none" w:sz="0" w:space="0" w:color="auto"/>
        <w:bottom w:val="none" w:sz="0" w:space="0" w:color="auto"/>
        <w:right w:val="none" w:sz="0" w:space="0" w:color="auto"/>
      </w:divBdr>
    </w:div>
    <w:div w:id="885675353">
      <w:bodyDiv w:val="1"/>
      <w:marLeft w:val="0"/>
      <w:marRight w:val="0"/>
      <w:marTop w:val="0"/>
      <w:marBottom w:val="0"/>
      <w:divBdr>
        <w:top w:val="none" w:sz="0" w:space="0" w:color="auto"/>
        <w:left w:val="none" w:sz="0" w:space="0" w:color="auto"/>
        <w:bottom w:val="none" w:sz="0" w:space="0" w:color="auto"/>
        <w:right w:val="none" w:sz="0" w:space="0" w:color="auto"/>
      </w:divBdr>
    </w:div>
    <w:div w:id="886912262">
      <w:bodyDiv w:val="1"/>
      <w:marLeft w:val="0"/>
      <w:marRight w:val="0"/>
      <w:marTop w:val="0"/>
      <w:marBottom w:val="0"/>
      <w:divBdr>
        <w:top w:val="none" w:sz="0" w:space="0" w:color="auto"/>
        <w:left w:val="none" w:sz="0" w:space="0" w:color="auto"/>
        <w:bottom w:val="none" w:sz="0" w:space="0" w:color="auto"/>
        <w:right w:val="none" w:sz="0" w:space="0" w:color="auto"/>
      </w:divBdr>
    </w:div>
    <w:div w:id="889538107">
      <w:bodyDiv w:val="1"/>
      <w:marLeft w:val="0"/>
      <w:marRight w:val="0"/>
      <w:marTop w:val="0"/>
      <w:marBottom w:val="0"/>
      <w:divBdr>
        <w:top w:val="none" w:sz="0" w:space="0" w:color="auto"/>
        <w:left w:val="none" w:sz="0" w:space="0" w:color="auto"/>
        <w:bottom w:val="none" w:sz="0" w:space="0" w:color="auto"/>
        <w:right w:val="none" w:sz="0" w:space="0" w:color="auto"/>
      </w:divBdr>
    </w:div>
    <w:div w:id="894194562">
      <w:bodyDiv w:val="1"/>
      <w:marLeft w:val="0"/>
      <w:marRight w:val="0"/>
      <w:marTop w:val="0"/>
      <w:marBottom w:val="0"/>
      <w:divBdr>
        <w:top w:val="none" w:sz="0" w:space="0" w:color="auto"/>
        <w:left w:val="none" w:sz="0" w:space="0" w:color="auto"/>
        <w:bottom w:val="none" w:sz="0" w:space="0" w:color="auto"/>
        <w:right w:val="none" w:sz="0" w:space="0" w:color="auto"/>
      </w:divBdr>
    </w:div>
    <w:div w:id="897594778">
      <w:bodyDiv w:val="1"/>
      <w:marLeft w:val="0"/>
      <w:marRight w:val="0"/>
      <w:marTop w:val="0"/>
      <w:marBottom w:val="0"/>
      <w:divBdr>
        <w:top w:val="none" w:sz="0" w:space="0" w:color="auto"/>
        <w:left w:val="none" w:sz="0" w:space="0" w:color="auto"/>
        <w:bottom w:val="none" w:sz="0" w:space="0" w:color="auto"/>
        <w:right w:val="none" w:sz="0" w:space="0" w:color="auto"/>
      </w:divBdr>
    </w:div>
    <w:div w:id="901598193">
      <w:bodyDiv w:val="1"/>
      <w:marLeft w:val="0"/>
      <w:marRight w:val="0"/>
      <w:marTop w:val="0"/>
      <w:marBottom w:val="0"/>
      <w:divBdr>
        <w:top w:val="none" w:sz="0" w:space="0" w:color="auto"/>
        <w:left w:val="none" w:sz="0" w:space="0" w:color="auto"/>
        <w:bottom w:val="none" w:sz="0" w:space="0" w:color="auto"/>
        <w:right w:val="none" w:sz="0" w:space="0" w:color="auto"/>
      </w:divBdr>
    </w:div>
    <w:div w:id="901715001">
      <w:bodyDiv w:val="1"/>
      <w:marLeft w:val="0"/>
      <w:marRight w:val="0"/>
      <w:marTop w:val="0"/>
      <w:marBottom w:val="0"/>
      <w:divBdr>
        <w:top w:val="none" w:sz="0" w:space="0" w:color="auto"/>
        <w:left w:val="none" w:sz="0" w:space="0" w:color="auto"/>
        <w:bottom w:val="none" w:sz="0" w:space="0" w:color="auto"/>
        <w:right w:val="none" w:sz="0" w:space="0" w:color="auto"/>
      </w:divBdr>
    </w:div>
    <w:div w:id="902713257">
      <w:bodyDiv w:val="1"/>
      <w:marLeft w:val="0"/>
      <w:marRight w:val="0"/>
      <w:marTop w:val="0"/>
      <w:marBottom w:val="0"/>
      <w:divBdr>
        <w:top w:val="none" w:sz="0" w:space="0" w:color="auto"/>
        <w:left w:val="none" w:sz="0" w:space="0" w:color="auto"/>
        <w:bottom w:val="none" w:sz="0" w:space="0" w:color="auto"/>
        <w:right w:val="none" w:sz="0" w:space="0" w:color="auto"/>
      </w:divBdr>
    </w:div>
    <w:div w:id="907110926">
      <w:bodyDiv w:val="1"/>
      <w:marLeft w:val="0"/>
      <w:marRight w:val="0"/>
      <w:marTop w:val="0"/>
      <w:marBottom w:val="0"/>
      <w:divBdr>
        <w:top w:val="none" w:sz="0" w:space="0" w:color="auto"/>
        <w:left w:val="none" w:sz="0" w:space="0" w:color="auto"/>
        <w:bottom w:val="none" w:sz="0" w:space="0" w:color="auto"/>
        <w:right w:val="none" w:sz="0" w:space="0" w:color="auto"/>
      </w:divBdr>
    </w:div>
    <w:div w:id="908536395">
      <w:bodyDiv w:val="1"/>
      <w:marLeft w:val="0"/>
      <w:marRight w:val="0"/>
      <w:marTop w:val="0"/>
      <w:marBottom w:val="0"/>
      <w:divBdr>
        <w:top w:val="none" w:sz="0" w:space="0" w:color="auto"/>
        <w:left w:val="none" w:sz="0" w:space="0" w:color="auto"/>
        <w:bottom w:val="none" w:sz="0" w:space="0" w:color="auto"/>
        <w:right w:val="none" w:sz="0" w:space="0" w:color="auto"/>
      </w:divBdr>
    </w:div>
    <w:div w:id="909460167">
      <w:bodyDiv w:val="1"/>
      <w:marLeft w:val="0"/>
      <w:marRight w:val="0"/>
      <w:marTop w:val="0"/>
      <w:marBottom w:val="0"/>
      <w:divBdr>
        <w:top w:val="none" w:sz="0" w:space="0" w:color="auto"/>
        <w:left w:val="none" w:sz="0" w:space="0" w:color="auto"/>
        <w:bottom w:val="none" w:sz="0" w:space="0" w:color="auto"/>
        <w:right w:val="none" w:sz="0" w:space="0" w:color="auto"/>
      </w:divBdr>
    </w:div>
    <w:div w:id="910887918">
      <w:bodyDiv w:val="1"/>
      <w:marLeft w:val="0"/>
      <w:marRight w:val="0"/>
      <w:marTop w:val="0"/>
      <w:marBottom w:val="0"/>
      <w:divBdr>
        <w:top w:val="none" w:sz="0" w:space="0" w:color="auto"/>
        <w:left w:val="none" w:sz="0" w:space="0" w:color="auto"/>
        <w:bottom w:val="none" w:sz="0" w:space="0" w:color="auto"/>
        <w:right w:val="none" w:sz="0" w:space="0" w:color="auto"/>
      </w:divBdr>
    </w:div>
    <w:div w:id="912816561">
      <w:bodyDiv w:val="1"/>
      <w:marLeft w:val="0"/>
      <w:marRight w:val="0"/>
      <w:marTop w:val="0"/>
      <w:marBottom w:val="0"/>
      <w:divBdr>
        <w:top w:val="none" w:sz="0" w:space="0" w:color="auto"/>
        <w:left w:val="none" w:sz="0" w:space="0" w:color="auto"/>
        <w:bottom w:val="none" w:sz="0" w:space="0" w:color="auto"/>
        <w:right w:val="none" w:sz="0" w:space="0" w:color="auto"/>
      </w:divBdr>
    </w:div>
    <w:div w:id="915088551">
      <w:bodyDiv w:val="1"/>
      <w:marLeft w:val="0"/>
      <w:marRight w:val="0"/>
      <w:marTop w:val="0"/>
      <w:marBottom w:val="0"/>
      <w:divBdr>
        <w:top w:val="none" w:sz="0" w:space="0" w:color="auto"/>
        <w:left w:val="none" w:sz="0" w:space="0" w:color="auto"/>
        <w:bottom w:val="none" w:sz="0" w:space="0" w:color="auto"/>
        <w:right w:val="none" w:sz="0" w:space="0" w:color="auto"/>
      </w:divBdr>
    </w:div>
    <w:div w:id="917053737">
      <w:bodyDiv w:val="1"/>
      <w:marLeft w:val="0"/>
      <w:marRight w:val="0"/>
      <w:marTop w:val="0"/>
      <w:marBottom w:val="0"/>
      <w:divBdr>
        <w:top w:val="none" w:sz="0" w:space="0" w:color="auto"/>
        <w:left w:val="none" w:sz="0" w:space="0" w:color="auto"/>
        <w:bottom w:val="none" w:sz="0" w:space="0" w:color="auto"/>
        <w:right w:val="none" w:sz="0" w:space="0" w:color="auto"/>
      </w:divBdr>
    </w:div>
    <w:div w:id="922496408">
      <w:bodyDiv w:val="1"/>
      <w:marLeft w:val="0"/>
      <w:marRight w:val="0"/>
      <w:marTop w:val="0"/>
      <w:marBottom w:val="0"/>
      <w:divBdr>
        <w:top w:val="none" w:sz="0" w:space="0" w:color="auto"/>
        <w:left w:val="none" w:sz="0" w:space="0" w:color="auto"/>
        <w:bottom w:val="none" w:sz="0" w:space="0" w:color="auto"/>
        <w:right w:val="none" w:sz="0" w:space="0" w:color="auto"/>
      </w:divBdr>
    </w:div>
    <w:div w:id="928541922">
      <w:bodyDiv w:val="1"/>
      <w:marLeft w:val="0"/>
      <w:marRight w:val="0"/>
      <w:marTop w:val="0"/>
      <w:marBottom w:val="0"/>
      <w:divBdr>
        <w:top w:val="none" w:sz="0" w:space="0" w:color="auto"/>
        <w:left w:val="none" w:sz="0" w:space="0" w:color="auto"/>
        <w:bottom w:val="none" w:sz="0" w:space="0" w:color="auto"/>
        <w:right w:val="none" w:sz="0" w:space="0" w:color="auto"/>
      </w:divBdr>
    </w:div>
    <w:div w:id="930359850">
      <w:bodyDiv w:val="1"/>
      <w:marLeft w:val="0"/>
      <w:marRight w:val="0"/>
      <w:marTop w:val="0"/>
      <w:marBottom w:val="0"/>
      <w:divBdr>
        <w:top w:val="none" w:sz="0" w:space="0" w:color="auto"/>
        <w:left w:val="none" w:sz="0" w:space="0" w:color="auto"/>
        <w:bottom w:val="none" w:sz="0" w:space="0" w:color="auto"/>
        <w:right w:val="none" w:sz="0" w:space="0" w:color="auto"/>
      </w:divBdr>
    </w:div>
    <w:div w:id="939340529">
      <w:bodyDiv w:val="1"/>
      <w:marLeft w:val="0"/>
      <w:marRight w:val="0"/>
      <w:marTop w:val="0"/>
      <w:marBottom w:val="0"/>
      <w:divBdr>
        <w:top w:val="none" w:sz="0" w:space="0" w:color="auto"/>
        <w:left w:val="none" w:sz="0" w:space="0" w:color="auto"/>
        <w:bottom w:val="none" w:sz="0" w:space="0" w:color="auto"/>
        <w:right w:val="none" w:sz="0" w:space="0" w:color="auto"/>
      </w:divBdr>
    </w:div>
    <w:div w:id="940379343">
      <w:bodyDiv w:val="1"/>
      <w:marLeft w:val="0"/>
      <w:marRight w:val="0"/>
      <w:marTop w:val="0"/>
      <w:marBottom w:val="0"/>
      <w:divBdr>
        <w:top w:val="none" w:sz="0" w:space="0" w:color="auto"/>
        <w:left w:val="none" w:sz="0" w:space="0" w:color="auto"/>
        <w:bottom w:val="none" w:sz="0" w:space="0" w:color="auto"/>
        <w:right w:val="none" w:sz="0" w:space="0" w:color="auto"/>
      </w:divBdr>
    </w:div>
    <w:div w:id="942031874">
      <w:bodyDiv w:val="1"/>
      <w:marLeft w:val="0"/>
      <w:marRight w:val="0"/>
      <w:marTop w:val="0"/>
      <w:marBottom w:val="0"/>
      <w:divBdr>
        <w:top w:val="none" w:sz="0" w:space="0" w:color="auto"/>
        <w:left w:val="none" w:sz="0" w:space="0" w:color="auto"/>
        <w:bottom w:val="none" w:sz="0" w:space="0" w:color="auto"/>
        <w:right w:val="none" w:sz="0" w:space="0" w:color="auto"/>
      </w:divBdr>
    </w:div>
    <w:div w:id="943221385">
      <w:bodyDiv w:val="1"/>
      <w:marLeft w:val="0"/>
      <w:marRight w:val="0"/>
      <w:marTop w:val="0"/>
      <w:marBottom w:val="0"/>
      <w:divBdr>
        <w:top w:val="none" w:sz="0" w:space="0" w:color="auto"/>
        <w:left w:val="none" w:sz="0" w:space="0" w:color="auto"/>
        <w:bottom w:val="none" w:sz="0" w:space="0" w:color="auto"/>
        <w:right w:val="none" w:sz="0" w:space="0" w:color="auto"/>
      </w:divBdr>
    </w:div>
    <w:div w:id="950472961">
      <w:bodyDiv w:val="1"/>
      <w:marLeft w:val="0"/>
      <w:marRight w:val="0"/>
      <w:marTop w:val="0"/>
      <w:marBottom w:val="0"/>
      <w:divBdr>
        <w:top w:val="none" w:sz="0" w:space="0" w:color="auto"/>
        <w:left w:val="none" w:sz="0" w:space="0" w:color="auto"/>
        <w:bottom w:val="none" w:sz="0" w:space="0" w:color="auto"/>
        <w:right w:val="none" w:sz="0" w:space="0" w:color="auto"/>
      </w:divBdr>
    </w:div>
    <w:div w:id="951325876">
      <w:bodyDiv w:val="1"/>
      <w:marLeft w:val="0"/>
      <w:marRight w:val="0"/>
      <w:marTop w:val="0"/>
      <w:marBottom w:val="0"/>
      <w:divBdr>
        <w:top w:val="none" w:sz="0" w:space="0" w:color="auto"/>
        <w:left w:val="none" w:sz="0" w:space="0" w:color="auto"/>
        <w:bottom w:val="none" w:sz="0" w:space="0" w:color="auto"/>
        <w:right w:val="none" w:sz="0" w:space="0" w:color="auto"/>
      </w:divBdr>
    </w:div>
    <w:div w:id="957755817">
      <w:bodyDiv w:val="1"/>
      <w:marLeft w:val="0"/>
      <w:marRight w:val="0"/>
      <w:marTop w:val="0"/>
      <w:marBottom w:val="0"/>
      <w:divBdr>
        <w:top w:val="none" w:sz="0" w:space="0" w:color="auto"/>
        <w:left w:val="none" w:sz="0" w:space="0" w:color="auto"/>
        <w:bottom w:val="none" w:sz="0" w:space="0" w:color="auto"/>
        <w:right w:val="none" w:sz="0" w:space="0" w:color="auto"/>
      </w:divBdr>
    </w:div>
    <w:div w:id="965476858">
      <w:bodyDiv w:val="1"/>
      <w:marLeft w:val="0"/>
      <w:marRight w:val="0"/>
      <w:marTop w:val="0"/>
      <w:marBottom w:val="0"/>
      <w:divBdr>
        <w:top w:val="none" w:sz="0" w:space="0" w:color="auto"/>
        <w:left w:val="none" w:sz="0" w:space="0" w:color="auto"/>
        <w:bottom w:val="none" w:sz="0" w:space="0" w:color="auto"/>
        <w:right w:val="none" w:sz="0" w:space="0" w:color="auto"/>
      </w:divBdr>
    </w:div>
    <w:div w:id="968784131">
      <w:bodyDiv w:val="1"/>
      <w:marLeft w:val="0"/>
      <w:marRight w:val="0"/>
      <w:marTop w:val="0"/>
      <w:marBottom w:val="0"/>
      <w:divBdr>
        <w:top w:val="none" w:sz="0" w:space="0" w:color="auto"/>
        <w:left w:val="none" w:sz="0" w:space="0" w:color="auto"/>
        <w:bottom w:val="none" w:sz="0" w:space="0" w:color="auto"/>
        <w:right w:val="none" w:sz="0" w:space="0" w:color="auto"/>
      </w:divBdr>
    </w:div>
    <w:div w:id="979269377">
      <w:bodyDiv w:val="1"/>
      <w:marLeft w:val="0"/>
      <w:marRight w:val="0"/>
      <w:marTop w:val="0"/>
      <w:marBottom w:val="0"/>
      <w:divBdr>
        <w:top w:val="none" w:sz="0" w:space="0" w:color="auto"/>
        <w:left w:val="none" w:sz="0" w:space="0" w:color="auto"/>
        <w:bottom w:val="none" w:sz="0" w:space="0" w:color="auto"/>
        <w:right w:val="none" w:sz="0" w:space="0" w:color="auto"/>
      </w:divBdr>
    </w:div>
    <w:div w:id="980034359">
      <w:bodyDiv w:val="1"/>
      <w:marLeft w:val="0"/>
      <w:marRight w:val="0"/>
      <w:marTop w:val="0"/>
      <w:marBottom w:val="0"/>
      <w:divBdr>
        <w:top w:val="none" w:sz="0" w:space="0" w:color="auto"/>
        <w:left w:val="none" w:sz="0" w:space="0" w:color="auto"/>
        <w:bottom w:val="none" w:sz="0" w:space="0" w:color="auto"/>
        <w:right w:val="none" w:sz="0" w:space="0" w:color="auto"/>
      </w:divBdr>
    </w:div>
    <w:div w:id="980504872">
      <w:bodyDiv w:val="1"/>
      <w:marLeft w:val="0"/>
      <w:marRight w:val="0"/>
      <w:marTop w:val="0"/>
      <w:marBottom w:val="0"/>
      <w:divBdr>
        <w:top w:val="none" w:sz="0" w:space="0" w:color="auto"/>
        <w:left w:val="none" w:sz="0" w:space="0" w:color="auto"/>
        <w:bottom w:val="none" w:sz="0" w:space="0" w:color="auto"/>
        <w:right w:val="none" w:sz="0" w:space="0" w:color="auto"/>
      </w:divBdr>
    </w:div>
    <w:div w:id="984234765">
      <w:bodyDiv w:val="1"/>
      <w:marLeft w:val="0"/>
      <w:marRight w:val="0"/>
      <w:marTop w:val="0"/>
      <w:marBottom w:val="0"/>
      <w:divBdr>
        <w:top w:val="none" w:sz="0" w:space="0" w:color="auto"/>
        <w:left w:val="none" w:sz="0" w:space="0" w:color="auto"/>
        <w:bottom w:val="none" w:sz="0" w:space="0" w:color="auto"/>
        <w:right w:val="none" w:sz="0" w:space="0" w:color="auto"/>
      </w:divBdr>
    </w:div>
    <w:div w:id="985158038">
      <w:bodyDiv w:val="1"/>
      <w:marLeft w:val="0"/>
      <w:marRight w:val="0"/>
      <w:marTop w:val="0"/>
      <w:marBottom w:val="0"/>
      <w:divBdr>
        <w:top w:val="none" w:sz="0" w:space="0" w:color="auto"/>
        <w:left w:val="none" w:sz="0" w:space="0" w:color="auto"/>
        <w:bottom w:val="none" w:sz="0" w:space="0" w:color="auto"/>
        <w:right w:val="none" w:sz="0" w:space="0" w:color="auto"/>
      </w:divBdr>
    </w:div>
    <w:div w:id="990643007">
      <w:bodyDiv w:val="1"/>
      <w:marLeft w:val="0"/>
      <w:marRight w:val="0"/>
      <w:marTop w:val="0"/>
      <w:marBottom w:val="0"/>
      <w:divBdr>
        <w:top w:val="none" w:sz="0" w:space="0" w:color="auto"/>
        <w:left w:val="none" w:sz="0" w:space="0" w:color="auto"/>
        <w:bottom w:val="none" w:sz="0" w:space="0" w:color="auto"/>
        <w:right w:val="none" w:sz="0" w:space="0" w:color="auto"/>
      </w:divBdr>
    </w:div>
    <w:div w:id="1002927698">
      <w:bodyDiv w:val="1"/>
      <w:marLeft w:val="0"/>
      <w:marRight w:val="0"/>
      <w:marTop w:val="0"/>
      <w:marBottom w:val="0"/>
      <w:divBdr>
        <w:top w:val="none" w:sz="0" w:space="0" w:color="auto"/>
        <w:left w:val="none" w:sz="0" w:space="0" w:color="auto"/>
        <w:bottom w:val="none" w:sz="0" w:space="0" w:color="auto"/>
        <w:right w:val="none" w:sz="0" w:space="0" w:color="auto"/>
      </w:divBdr>
    </w:div>
    <w:div w:id="1008680061">
      <w:bodyDiv w:val="1"/>
      <w:marLeft w:val="0"/>
      <w:marRight w:val="0"/>
      <w:marTop w:val="0"/>
      <w:marBottom w:val="0"/>
      <w:divBdr>
        <w:top w:val="none" w:sz="0" w:space="0" w:color="auto"/>
        <w:left w:val="none" w:sz="0" w:space="0" w:color="auto"/>
        <w:bottom w:val="none" w:sz="0" w:space="0" w:color="auto"/>
        <w:right w:val="none" w:sz="0" w:space="0" w:color="auto"/>
      </w:divBdr>
    </w:div>
    <w:div w:id="1010565492">
      <w:bodyDiv w:val="1"/>
      <w:marLeft w:val="0"/>
      <w:marRight w:val="0"/>
      <w:marTop w:val="0"/>
      <w:marBottom w:val="0"/>
      <w:divBdr>
        <w:top w:val="none" w:sz="0" w:space="0" w:color="auto"/>
        <w:left w:val="none" w:sz="0" w:space="0" w:color="auto"/>
        <w:bottom w:val="none" w:sz="0" w:space="0" w:color="auto"/>
        <w:right w:val="none" w:sz="0" w:space="0" w:color="auto"/>
      </w:divBdr>
    </w:div>
    <w:div w:id="1012994180">
      <w:bodyDiv w:val="1"/>
      <w:marLeft w:val="0"/>
      <w:marRight w:val="0"/>
      <w:marTop w:val="0"/>
      <w:marBottom w:val="0"/>
      <w:divBdr>
        <w:top w:val="none" w:sz="0" w:space="0" w:color="auto"/>
        <w:left w:val="none" w:sz="0" w:space="0" w:color="auto"/>
        <w:bottom w:val="none" w:sz="0" w:space="0" w:color="auto"/>
        <w:right w:val="none" w:sz="0" w:space="0" w:color="auto"/>
      </w:divBdr>
    </w:div>
    <w:div w:id="1013336234">
      <w:bodyDiv w:val="1"/>
      <w:marLeft w:val="0"/>
      <w:marRight w:val="0"/>
      <w:marTop w:val="0"/>
      <w:marBottom w:val="0"/>
      <w:divBdr>
        <w:top w:val="none" w:sz="0" w:space="0" w:color="auto"/>
        <w:left w:val="none" w:sz="0" w:space="0" w:color="auto"/>
        <w:bottom w:val="none" w:sz="0" w:space="0" w:color="auto"/>
        <w:right w:val="none" w:sz="0" w:space="0" w:color="auto"/>
      </w:divBdr>
    </w:div>
    <w:div w:id="1015888748">
      <w:bodyDiv w:val="1"/>
      <w:marLeft w:val="0"/>
      <w:marRight w:val="0"/>
      <w:marTop w:val="0"/>
      <w:marBottom w:val="0"/>
      <w:divBdr>
        <w:top w:val="none" w:sz="0" w:space="0" w:color="auto"/>
        <w:left w:val="none" w:sz="0" w:space="0" w:color="auto"/>
        <w:bottom w:val="none" w:sz="0" w:space="0" w:color="auto"/>
        <w:right w:val="none" w:sz="0" w:space="0" w:color="auto"/>
      </w:divBdr>
    </w:div>
    <w:div w:id="1018308525">
      <w:bodyDiv w:val="1"/>
      <w:marLeft w:val="0"/>
      <w:marRight w:val="0"/>
      <w:marTop w:val="0"/>
      <w:marBottom w:val="0"/>
      <w:divBdr>
        <w:top w:val="none" w:sz="0" w:space="0" w:color="auto"/>
        <w:left w:val="none" w:sz="0" w:space="0" w:color="auto"/>
        <w:bottom w:val="none" w:sz="0" w:space="0" w:color="auto"/>
        <w:right w:val="none" w:sz="0" w:space="0" w:color="auto"/>
      </w:divBdr>
    </w:div>
    <w:div w:id="1018433988">
      <w:bodyDiv w:val="1"/>
      <w:marLeft w:val="0"/>
      <w:marRight w:val="0"/>
      <w:marTop w:val="0"/>
      <w:marBottom w:val="0"/>
      <w:divBdr>
        <w:top w:val="none" w:sz="0" w:space="0" w:color="auto"/>
        <w:left w:val="none" w:sz="0" w:space="0" w:color="auto"/>
        <w:bottom w:val="none" w:sz="0" w:space="0" w:color="auto"/>
        <w:right w:val="none" w:sz="0" w:space="0" w:color="auto"/>
      </w:divBdr>
    </w:div>
    <w:div w:id="1020395613">
      <w:bodyDiv w:val="1"/>
      <w:marLeft w:val="0"/>
      <w:marRight w:val="0"/>
      <w:marTop w:val="0"/>
      <w:marBottom w:val="0"/>
      <w:divBdr>
        <w:top w:val="none" w:sz="0" w:space="0" w:color="auto"/>
        <w:left w:val="none" w:sz="0" w:space="0" w:color="auto"/>
        <w:bottom w:val="none" w:sz="0" w:space="0" w:color="auto"/>
        <w:right w:val="none" w:sz="0" w:space="0" w:color="auto"/>
      </w:divBdr>
    </w:div>
    <w:div w:id="1023556185">
      <w:bodyDiv w:val="1"/>
      <w:marLeft w:val="0"/>
      <w:marRight w:val="0"/>
      <w:marTop w:val="0"/>
      <w:marBottom w:val="0"/>
      <w:divBdr>
        <w:top w:val="none" w:sz="0" w:space="0" w:color="auto"/>
        <w:left w:val="none" w:sz="0" w:space="0" w:color="auto"/>
        <w:bottom w:val="none" w:sz="0" w:space="0" w:color="auto"/>
        <w:right w:val="none" w:sz="0" w:space="0" w:color="auto"/>
      </w:divBdr>
    </w:div>
    <w:div w:id="1027293992">
      <w:bodyDiv w:val="1"/>
      <w:marLeft w:val="0"/>
      <w:marRight w:val="0"/>
      <w:marTop w:val="0"/>
      <w:marBottom w:val="0"/>
      <w:divBdr>
        <w:top w:val="none" w:sz="0" w:space="0" w:color="auto"/>
        <w:left w:val="none" w:sz="0" w:space="0" w:color="auto"/>
        <w:bottom w:val="none" w:sz="0" w:space="0" w:color="auto"/>
        <w:right w:val="none" w:sz="0" w:space="0" w:color="auto"/>
      </w:divBdr>
    </w:div>
    <w:div w:id="1029188026">
      <w:bodyDiv w:val="1"/>
      <w:marLeft w:val="0"/>
      <w:marRight w:val="0"/>
      <w:marTop w:val="0"/>
      <w:marBottom w:val="0"/>
      <w:divBdr>
        <w:top w:val="none" w:sz="0" w:space="0" w:color="auto"/>
        <w:left w:val="none" w:sz="0" w:space="0" w:color="auto"/>
        <w:bottom w:val="none" w:sz="0" w:space="0" w:color="auto"/>
        <w:right w:val="none" w:sz="0" w:space="0" w:color="auto"/>
      </w:divBdr>
    </w:div>
    <w:div w:id="1032339689">
      <w:bodyDiv w:val="1"/>
      <w:marLeft w:val="0"/>
      <w:marRight w:val="0"/>
      <w:marTop w:val="0"/>
      <w:marBottom w:val="0"/>
      <w:divBdr>
        <w:top w:val="none" w:sz="0" w:space="0" w:color="auto"/>
        <w:left w:val="none" w:sz="0" w:space="0" w:color="auto"/>
        <w:bottom w:val="none" w:sz="0" w:space="0" w:color="auto"/>
        <w:right w:val="none" w:sz="0" w:space="0" w:color="auto"/>
      </w:divBdr>
    </w:div>
    <w:div w:id="1034038702">
      <w:bodyDiv w:val="1"/>
      <w:marLeft w:val="0"/>
      <w:marRight w:val="0"/>
      <w:marTop w:val="0"/>
      <w:marBottom w:val="0"/>
      <w:divBdr>
        <w:top w:val="none" w:sz="0" w:space="0" w:color="auto"/>
        <w:left w:val="none" w:sz="0" w:space="0" w:color="auto"/>
        <w:bottom w:val="none" w:sz="0" w:space="0" w:color="auto"/>
        <w:right w:val="none" w:sz="0" w:space="0" w:color="auto"/>
      </w:divBdr>
    </w:div>
    <w:div w:id="1038817227">
      <w:bodyDiv w:val="1"/>
      <w:marLeft w:val="0"/>
      <w:marRight w:val="0"/>
      <w:marTop w:val="0"/>
      <w:marBottom w:val="0"/>
      <w:divBdr>
        <w:top w:val="none" w:sz="0" w:space="0" w:color="auto"/>
        <w:left w:val="none" w:sz="0" w:space="0" w:color="auto"/>
        <w:bottom w:val="none" w:sz="0" w:space="0" w:color="auto"/>
        <w:right w:val="none" w:sz="0" w:space="0" w:color="auto"/>
      </w:divBdr>
    </w:div>
    <w:div w:id="1039086158">
      <w:bodyDiv w:val="1"/>
      <w:marLeft w:val="0"/>
      <w:marRight w:val="0"/>
      <w:marTop w:val="0"/>
      <w:marBottom w:val="0"/>
      <w:divBdr>
        <w:top w:val="none" w:sz="0" w:space="0" w:color="auto"/>
        <w:left w:val="none" w:sz="0" w:space="0" w:color="auto"/>
        <w:bottom w:val="none" w:sz="0" w:space="0" w:color="auto"/>
        <w:right w:val="none" w:sz="0" w:space="0" w:color="auto"/>
      </w:divBdr>
    </w:div>
    <w:div w:id="1043287607">
      <w:bodyDiv w:val="1"/>
      <w:marLeft w:val="0"/>
      <w:marRight w:val="0"/>
      <w:marTop w:val="0"/>
      <w:marBottom w:val="0"/>
      <w:divBdr>
        <w:top w:val="none" w:sz="0" w:space="0" w:color="auto"/>
        <w:left w:val="none" w:sz="0" w:space="0" w:color="auto"/>
        <w:bottom w:val="none" w:sz="0" w:space="0" w:color="auto"/>
        <w:right w:val="none" w:sz="0" w:space="0" w:color="auto"/>
      </w:divBdr>
    </w:div>
    <w:div w:id="1047068812">
      <w:bodyDiv w:val="1"/>
      <w:marLeft w:val="0"/>
      <w:marRight w:val="0"/>
      <w:marTop w:val="0"/>
      <w:marBottom w:val="0"/>
      <w:divBdr>
        <w:top w:val="none" w:sz="0" w:space="0" w:color="auto"/>
        <w:left w:val="none" w:sz="0" w:space="0" w:color="auto"/>
        <w:bottom w:val="none" w:sz="0" w:space="0" w:color="auto"/>
        <w:right w:val="none" w:sz="0" w:space="0" w:color="auto"/>
      </w:divBdr>
    </w:div>
    <w:div w:id="1049917593">
      <w:bodyDiv w:val="1"/>
      <w:marLeft w:val="0"/>
      <w:marRight w:val="0"/>
      <w:marTop w:val="0"/>
      <w:marBottom w:val="0"/>
      <w:divBdr>
        <w:top w:val="none" w:sz="0" w:space="0" w:color="auto"/>
        <w:left w:val="none" w:sz="0" w:space="0" w:color="auto"/>
        <w:bottom w:val="none" w:sz="0" w:space="0" w:color="auto"/>
        <w:right w:val="none" w:sz="0" w:space="0" w:color="auto"/>
      </w:divBdr>
    </w:div>
    <w:div w:id="1053652149">
      <w:bodyDiv w:val="1"/>
      <w:marLeft w:val="0"/>
      <w:marRight w:val="0"/>
      <w:marTop w:val="0"/>
      <w:marBottom w:val="0"/>
      <w:divBdr>
        <w:top w:val="none" w:sz="0" w:space="0" w:color="auto"/>
        <w:left w:val="none" w:sz="0" w:space="0" w:color="auto"/>
        <w:bottom w:val="none" w:sz="0" w:space="0" w:color="auto"/>
        <w:right w:val="none" w:sz="0" w:space="0" w:color="auto"/>
      </w:divBdr>
    </w:div>
    <w:div w:id="1053892531">
      <w:bodyDiv w:val="1"/>
      <w:marLeft w:val="0"/>
      <w:marRight w:val="0"/>
      <w:marTop w:val="0"/>
      <w:marBottom w:val="0"/>
      <w:divBdr>
        <w:top w:val="none" w:sz="0" w:space="0" w:color="auto"/>
        <w:left w:val="none" w:sz="0" w:space="0" w:color="auto"/>
        <w:bottom w:val="none" w:sz="0" w:space="0" w:color="auto"/>
        <w:right w:val="none" w:sz="0" w:space="0" w:color="auto"/>
      </w:divBdr>
    </w:div>
    <w:div w:id="1056123372">
      <w:bodyDiv w:val="1"/>
      <w:marLeft w:val="0"/>
      <w:marRight w:val="0"/>
      <w:marTop w:val="0"/>
      <w:marBottom w:val="0"/>
      <w:divBdr>
        <w:top w:val="none" w:sz="0" w:space="0" w:color="auto"/>
        <w:left w:val="none" w:sz="0" w:space="0" w:color="auto"/>
        <w:bottom w:val="none" w:sz="0" w:space="0" w:color="auto"/>
        <w:right w:val="none" w:sz="0" w:space="0" w:color="auto"/>
      </w:divBdr>
    </w:div>
    <w:div w:id="1058632831">
      <w:bodyDiv w:val="1"/>
      <w:marLeft w:val="0"/>
      <w:marRight w:val="0"/>
      <w:marTop w:val="0"/>
      <w:marBottom w:val="0"/>
      <w:divBdr>
        <w:top w:val="none" w:sz="0" w:space="0" w:color="auto"/>
        <w:left w:val="none" w:sz="0" w:space="0" w:color="auto"/>
        <w:bottom w:val="none" w:sz="0" w:space="0" w:color="auto"/>
        <w:right w:val="none" w:sz="0" w:space="0" w:color="auto"/>
      </w:divBdr>
    </w:div>
    <w:div w:id="1061322585">
      <w:bodyDiv w:val="1"/>
      <w:marLeft w:val="0"/>
      <w:marRight w:val="0"/>
      <w:marTop w:val="0"/>
      <w:marBottom w:val="0"/>
      <w:divBdr>
        <w:top w:val="none" w:sz="0" w:space="0" w:color="auto"/>
        <w:left w:val="none" w:sz="0" w:space="0" w:color="auto"/>
        <w:bottom w:val="none" w:sz="0" w:space="0" w:color="auto"/>
        <w:right w:val="none" w:sz="0" w:space="0" w:color="auto"/>
      </w:divBdr>
    </w:div>
    <w:div w:id="1065490603">
      <w:bodyDiv w:val="1"/>
      <w:marLeft w:val="0"/>
      <w:marRight w:val="0"/>
      <w:marTop w:val="0"/>
      <w:marBottom w:val="0"/>
      <w:divBdr>
        <w:top w:val="none" w:sz="0" w:space="0" w:color="auto"/>
        <w:left w:val="none" w:sz="0" w:space="0" w:color="auto"/>
        <w:bottom w:val="none" w:sz="0" w:space="0" w:color="auto"/>
        <w:right w:val="none" w:sz="0" w:space="0" w:color="auto"/>
      </w:divBdr>
    </w:div>
    <w:div w:id="1066757796">
      <w:bodyDiv w:val="1"/>
      <w:marLeft w:val="0"/>
      <w:marRight w:val="0"/>
      <w:marTop w:val="0"/>
      <w:marBottom w:val="0"/>
      <w:divBdr>
        <w:top w:val="none" w:sz="0" w:space="0" w:color="auto"/>
        <w:left w:val="none" w:sz="0" w:space="0" w:color="auto"/>
        <w:bottom w:val="none" w:sz="0" w:space="0" w:color="auto"/>
        <w:right w:val="none" w:sz="0" w:space="0" w:color="auto"/>
      </w:divBdr>
    </w:div>
    <w:div w:id="1069621534">
      <w:bodyDiv w:val="1"/>
      <w:marLeft w:val="0"/>
      <w:marRight w:val="0"/>
      <w:marTop w:val="0"/>
      <w:marBottom w:val="0"/>
      <w:divBdr>
        <w:top w:val="none" w:sz="0" w:space="0" w:color="auto"/>
        <w:left w:val="none" w:sz="0" w:space="0" w:color="auto"/>
        <w:bottom w:val="none" w:sz="0" w:space="0" w:color="auto"/>
        <w:right w:val="none" w:sz="0" w:space="0" w:color="auto"/>
      </w:divBdr>
    </w:div>
    <w:div w:id="1070662340">
      <w:bodyDiv w:val="1"/>
      <w:marLeft w:val="0"/>
      <w:marRight w:val="0"/>
      <w:marTop w:val="0"/>
      <w:marBottom w:val="0"/>
      <w:divBdr>
        <w:top w:val="none" w:sz="0" w:space="0" w:color="auto"/>
        <w:left w:val="none" w:sz="0" w:space="0" w:color="auto"/>
        <w:bottom w:val="none" w:sz="0" w:space="0" w:color="auto"/>
        <w:right w:val="none" w:sz="0" w:space="0" w:color="auto"/>
      </w:divBdr>
    </w:div>
    <w:div w:id="1071661953">
      <w:bodyDiv w:val="1"/>
      <w:marLeft w:val="0"/>
      <w:marRight w:val="0"/>
      <w:marTop w:val="0"/>
      <w:marBottom w:val="0"/>
      <w:divBdr>
        <w:top w:val="none" w:sz="0" w:space="0" w:color="auto"/>
        <w:left w:val="none" w:sz="0" w:space="0" w:color="auto"/>
        <w:bottom w:val="none" w:sz="0" w:space="0" w:color="auto"/>
        <w:right w:val="none" w:sz="0" w:space="0" w:color="auto"/>
      </w:divBdr>
    </w:div>
    <w:div w:id="1074930557">
      <w:bodyDiv w:val="1"/>
      <w:marLeft w:val="0"/>
      <w:marRight w:val="0"/>
      <w:marTop w:val="0"/>
      <w:marBottom w:val="0"/>
      <w:divBdr>
        <w:top w:val="none" w:sz="0" w:space="0" w:color="auto"/>
        <w:left w:val="none" w:sz="0" w:space="0" w:color="auto"/>
        <w:bottom w:val="none" w:sz="0" w:space="0" w:color="auto"/>
        <w:right w:val="none" w:sz="0" w:space="0" w:color="auto"/>
      </w:divBdr>
    </w:div>
    <w:div w:id="1076705880">
      <w:bodyDiv w:val="1"/>
      <w:marLeft w:val="0"/>
      <w:marRight w:val="0"/>
      <w:marTop w:val="0"/>
      <w:marBottom w:val="0"/>
      <w:divBdr>
        <w:top w:val="none" w:sz="0" w:space="0" w:color="auto"/>
        <w:left w:val="none" w:sz="0" w:space="0" w:color="auto"/>
        <w:bottom w:val="none" w:sz="0" w:space="0" w:color="auto"/>
        <w:right w:val="none" w:sz="0" w:space="0" w:color="auto"/>
      </w:divBdr>
    </w:div>
    <w:div w:id="1078553394">
      <w:bodyDiv w:val="1"/>
      <w:marLeft w:val="0"/>
      <w:marRight w:val="0"/>
      <w:marTop w:val="0"/>
      <w:marBottom w:val="0"/>
      <w:divBdr>
        <w:top w:val="none" w:sz="0" w:space="0" w:color="auto"/>
        <w:left w:val="none" w:sz="0" w:space="0" w:color="auto"/>
        <w:bottom w:val="none" w:sz="0" w:space="0" w:color="auto"/>
        <w:right w:val="none" w:sz="0" w:space="0" w:color="auto"/>
      </w:divBdr>
      <w:divsChild>
        <w:div w:id="111246526">
          <w:marLeft w:val="0"/>
          <w:marRight w:val="0"/>
          <w:marTop w:val="0"/>
          <w:marBottom w:val="0"/>
          <w:divBdr>
            <w:top w:val="none" w:sz="0" w:space="0" w:color="auto"/>
            <w:left w:val="none" w:sz="0" w:space="0" w:color="auto"/>
            <w:bottom w:val="none" w:sz="0" w:space="0" w:color="auto"/>
            <w:right w:val="none" w:sz="0" w:space="0" w:color="auto"/>
          </w:divBdr>
          <w:divsChild>
            <w:div w:id="2109227767">
              <w:marLeft w:val="0"/>
              <w:marRight w:val="0"/>
              <w:marTop w:val="0"/>
              <w:marBottom w:val="0"/>
              <w:divBdr>
                <w:top w:val="none" w:sz="0" w:space="0" w:color="auto"/>
                <w:left w:val="none" w:sz="0" w:space="0" w:color="auto"/>
                <w:bottom w:val="none" w:sz="0" w:space="0" w:color="auto"/>
                <w:right w:val="none" w:sz="0" w:space="0" w:color="auto"/>
              </w:divBdr>
              <w:divsChild>
                <w:div w:id="1620991419">
                  <w:marLeft w:val="0"/>
                  <w:marRight w:val="0"/>
                  <w:marTop w:val="0"/>
                  <w:marBottom w:val="0"/>
                  <w:divBdr>
                    <w:top w:val="none" w:sz="0" w:space="0" w:color="auto"/>
                    <w:left w:val="none" w:sz="0" w:space="0" w:color="auto"/>
                    <w:bottom w:val="none" w:sz="0" w:space="0" w:color="auto"/>
                    <w:right w:val="none" w:sz="0" w:space="0" w:color="auto"/>
                  </w:divBdr>
                  <w:divsChild>
                    <w:div w:id="2044820805">
                      <w:marLeft w:val="0"/>
                      <w:marRight w:val="0"/>
                      <w:marTop w:val="0"/>
                      <w:marBottom w:val="0"/>
                      <w:divBdr>
                        <w:top w:val="none" w:sz="0" w:space="0" w:color="auto"/>
                        <w:left w:val="none" w:sz="0" w:space="0" w:color="auto"/>
                        <w:bottom w:val="none" w:sz="0" w:space="0" w:color="auto"/>
                        <w:right w:val="none" w:sz="0" w:space="0" w:color="auto"/>
                      </w:divBdr>
                      <w:divsChild>
                        <w:div w:id="1974751528">
                          <w:marLeft w:val="0"/>
                          <w:marRight w:val="0"/>
                          <w:marTop w:val="100"/>
                          <w:marBottom w:val="100"/>
                          <w:divBdr>
                            <w:top w:val="none" w:sz="0" w:space="0" w:color="auto"/>
                            <w:left w:val="none" w:sz="0" w:space="0" w:color="auto"/>
                            <w:bottom w:val="none" w:sz="0" w:space="0" w:color="auto"/>
                            <w:right w:val="none" w:sz="0" w:space="0" w:color="auto"/>
                          </w:divBdr>
                          <w:divsChild>
                            <w:div w:id="1071275094">
                              <w:marLeft w:val="0"/>
                              <w:marRight w:val="0"/>
                              <w:marTop w:val="0"/>
                              <w:marBottom w:val="0"/>
                              <w:divBdr>
                                <w:top w:val="none" w:sz="0" w:space="0" w:color="000000"/>
                                <w:left w:val="none" w:sz="0" w:space="0" w:color="000000"/>
                                <w:bottom w:val="none" w:sz="0" w:space="0" w:color="000000"/>
                                <w:right w:val="none" w:sz="0" w:space="0" w:color="000000"/>
                              </w:divBdr>
                              <w:divsChild>
                                <w:div w:id="63163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1869635">
      <w:bodyDiv w:val="1"/>
      <w:marLeft w:val="0"/>
      <w:marRight w:val="0"/>
      <w:marTop w:val="0"/>
      <w:marBottom w:val="0"/>
      <w:divBdr>
        <w:top w:val="none" w:sz="0" w:space="0" w:color="auto"/>
        <w:left w:val="none" w:sz="0" w:space="0" w:color="auto"/>
        <w:bottom w:val="none" w:sz="0" w:space="0" w:color="auto"/>
        <w:right w:val="none" w:sz="0" w:space="0" w:color="auto"/>
      </w:divBdr>
    </w:div>
    <w:div w:id="1086535124">
      <w:bodyDiv w:val="1"/>
      <w:marLeft w:val="0"/>
      <w:marRight w:val="0"/>
      <w:marTop w:val="0"/>
      <w:marBottom w:val="0"/>
      <w:divBdr>
        <w:top w:val="none" w:sz="0" w:space="0" w:color="auto"/>
        <w:left w:val="none" w:sz="0" w:space="0" w:color="auto"/>
        <w:bottom w:val="none" w:sz="0" w:space="0" w:color="auto"/>
        <w:right w:val="none" w:sz="0" w:space="0" w:color="auto"/>
      </w:divBdr>
    </w:div>
    <w:div w:id="1094864025">
      <w:bodyDiv w:val="1"/>
      <w:marLeft w:val="0"/>
      <w:marRight w:val="0"/>
      <w:marTop w:val="0"/>
      <w:marBottom w:val="0"/>
      <w:divBdr>
        <w:top w:val="none" w:sz="0" w:space="0" w:color="auto"/>
        <w:left w:val="none" w:sz="0" w:space="0" w:color="auto"/>
        <w:bottom w:val="none" w:sz="0" w:space="0" w:color="auto"/>
        <w:right w:val="none" w:sz="0" w:space="0" w:color="auto"/>
      </w:divBdr>
    </w:div>
    <w:div w:id="1096291053">
      <w:bodyDiv w:val="1"/>
      <w:marLeft w:val="0"/>
      <w:marRight w:val="0"/>
      <w:marTop w:val="0"/>
      <w:marBottom w:val="0"/>
      <w:divBdr>
        <w:top w:val="none" w:sz="0" w:space="0" w:color="auto"/>
        <w:left w:val="none" w:sz="0" w:space="0" w:color="auto"/>
        <w:bottom w:val="none" w:sz="0" w:space="0" w:color="auto"/>
        <w:right w:val="none" w:sz="0" w:space="0" w:color="auto"/>
      </w:divBdr>
    </w:div>
    <w:div w:id="1101878727">
      <w:bodyDiv w:val="1"/>
      <w:marLeft w:val="0"/>
      <w:marRight w:val="0"/>
      <w:marTop w:val="0"/>
      <w:marBottom w:val="0"/>
      <w:divBdr>
        <w:top w:val="none" w:sz="0" w:space="0" w:color="auto"/>
        <w:left w:val="none" w:sz="0" w:space="0" w:color="auto"/>
        <w:bottom w:val="none" w:sz="0" w:space="0" w:color="auto"/>
        <w:right w:val="none" w:sz="0" w:space="0" w:color="auto"/>
      </w:divBdr>
    </w:div>
    <w:div w:id="1105228776">
      <w:bodyDiv w:val="1"/>
      <w:marLeft w:val="0"/>
      <w:marRight w:val="0"/>
      <w:marTop w:val="0"/>
      <w:marBottom w:val="0"/>
      <w:divBdr>
        <w:top w:val="none" w:sz="0" w:space="0" w:color="auto"/>
        <w:left w:val="none" w:sz="0" w:space="0" w:color="auto"/>
        <w:bottom w:val="none" w:sz="0" w:space="0" w:color="auto"/>
        <w:right w:val="none" w:sz="0" w:space="0" w:color="auto"/>
      </w:divBdr>
    </w:div>
    <w:div w:id="1109665639">
      <w:bodyDiv w:val="1"/>
      <w:marLeft w:val="0"/>
      <w:marRight w:val="0"/>
      <w:marTop w:val="0"/>
      <w:marBottom w:val="0"/>
      <w:divBdr>
        <w:top w:val="none" w:sz="0" w:space="0" w:color="auto"/>
        <w:left w:val="none" w:sz="0" w:space="0" w:color="auto"/>
        <w:bottom w:val="none" w:sz="0" w:space="0" w:color="auto"/>
        <w:right w:val="none" w:sz="0" w:space="0" w:color="auto"/>
      </w:divBdr>
    </w:div>
    <w:div w:id="1112238436">
      <w:bodyDiv w:val="1"/>
      <w:marLeft w:val="0"/>
      <w:marRight w:val="0"/>
      <w:marTop w:val="0"/>
      <w:marBottom w:val="0"/>
      <w:divBdr>
        <w:top w:val="none" w:sz="0" w:space="0" w:color="auto"/>
        <w:left w:val="none" w:sz="0" w:space="0" w:color="auto"/>
        <w:bottom w:val="none" w:sz="0" w:space="0" w:color="auto"/>
        <w:right w:val="none" w:sz="0" w:space="0" w:color="auto"/>
      </w:divBdr>
    </w:div>
    <w:div w:id="1113742735">
      <w:bodyDiv w:val="1"/>
      <w:marLeft w:val="0"/>
      <w:marRight w:val="0"/>
      <w:marTop w:val="0"/>
      <w:marBottom w:val="0"/>
      <w:divBdr>
        <w:top w:val="none" w:sz="0" w:space="0" w:color="auto"/>
        <w:left w:val="none" w:sz="0" w:space="0" w:color="auto"/>
        <w:bottom w:val="none" w:sz="0" w:space="0" w:color="auto"/>
        <w:right w:val="none" w:sz="0" w:space="0" w:color="auto"/>
      </w:divBdr>
    </w:div>
    <w:div w:id="1126044971">
      <w:bodyDiv w:val="1"/>
      <w:marLeft w:val="0"/>
      <w:marRight w:val="0"/>
      <w:marTop w:val="0"/>
      <w:marBottom w:val="0"/>
      <w:divBdr>
        <w:top w:val="none" w:sz="0" w:space="0" w:color="auto"/>
        <w:left w:val="none" w:sz="0" w:space="0" w:color="auto"/>
        <w:bottom w:val="none" w:sz="0" w:space="0" w:color="auto"/>
        <w:right w:val="none" w:sz="0" w:space="0" w:color="auto"/>
      </w:divBdr>
    </w:div>
    <w:div w:id="1130245894">
      <w:bodyDiv w:val="1"/>
      <w:marLeft w:val="0"/>
      <w:marRight w:val="0"/>
      <w:marTop w:val="0"/>
      <w:marBottom w:val="0"/>
      <w:divBdr>
        <w:top w:val="none" w:sz="0" w:space="0" w:color="auto"/>
        <w:left w:val="none" w:sz="0" w:space="0" w:color="auto"/>
        <w:bottom w:val="none" w:sz="0" w:space="0" w:color="auto"/>
        <w:right w:val="none" w:sz="0" w:space="0" w:color="auto"/>
      </w:divBdr>
    </w:div>
    <w:div w:id="1133327452">
      <w:bodyDiv w:val="1"/>
      <w:marLeft w:val="0"/>
      <w:marRight w:val="0"/>
      <w:marTop w:val="0"/>
      <w:marBottom w:val="0"/>
      <w:divBdr>
        <w:top w:val="none" w:sz="0" w:space="0" w:color="auto"/>
        <w:left w:val="none" w:sz="0" w:space="0" w:color="auto"/>
        <w:bottom w:val="none" w:sz="0" w:space="0" w:color="auto"/>
        <w:right w:val="none" w:sz="0" w:space="0" w:color="auto"/>
      </w:divBdr>
    </w:div>
    <w:div w:id="1142891291">
      <w:bodyDiv w:val="1"/>
      <w:marLeft w:val="0"/>
      <w:marRight w:val="0"/>
      <w:marTop w:val="0"/>
      <w:marBottom w:val="0"/>
      <w:divBdr>
        <w:top w:val="none" w:sz="0" w:space="0" w:color="auto"/>
        <w:left w:val="none" w:sz="0" w:space="0" w:color="auto"/>
        <w:bottom w:val="none" w:sz="0" w:space="0" w:color="auto"/>
        <w:right w:val="none" w:sz="0" w:space="0" w:color="auto"/>
      </w:divBdr>
    </w:div>
    <w:div w:id="1143811914">
      <w:bodyDiv w:val="1"/>
      <w:marLeft w:val="0"/>
      <w:marRight w:val="0"/>
      <w:marTop w:val="0"/>
      <w:marBottom w:val="0"/>
      <w:divBdr>
        <w:top w:val="none" w:sz="0" w:space="0" w:color="auto"/>
        <w:left w:val="none" w:sz="0" w:space="0" w:color="auto"/>
        <w:bottom w:val="none" w:sz="0" w:space="0" w:color="auto"/>
        <w:right w:val="none" w:sz="0" w:space="0" w:color="auto"/>
      </w:divBdr>
    </w:div>
    <w:div w:id="1149519398">
      <w:bodyDiv w:val="1"/>
      <w:marLeft w:val="0"/>
      <w:marRight w:val="0"/>
      <w:marTop w:val="0"/>
      <w:marBottom w:val="0"/>
      <w:divBdr>
        <w:top w:val="none" w:sz="0" w:space="0" w:color="auto"/>
        <w:left w:val="none" w:sz="0" w:space="0" w:color="auto"/>
        <w:bottom w:val="none" w:sz="0" w:space="0" w:color="auto"/>
        <w:right w:val="none" w:sz="0" w:space="0" w:color="auto"/>
      </w:divBdr>
    </w:div>
    <w:div w:id="1151365701">
      <w:bodyDiv w:val="1"/>
      <w:marLeft w:val="0"/>
      <w:marRight w:val="0"/>
      <w:marTop w:val="0"/>
      <w:marBottom w:val="0"/>
      <w:divBdr>
        <w:top w:val="none" w:sz="0" w:space="0" w:color="auto"/>
        <w:left w:val="none" w:sz="0" w:space="0" w:color="auto"/>
        <w:bottom w:val="none" w:sz="0" w:space="0" w:color="auto"/>
        <w:right w:val="none" w:sz="0" w:space="0" w:color="auto"/>
      </w:divBdr>
    </w:div>
    <w:div w:id="1154184032">
      <w:bodyDiv w:val="1"/>
      <w:marLeft w:val="0"/>
      <w:marRight w:val="0"/>
      <w:marTop w:val="0"/>
      <w:marBottom w:val="0"/>
      <w:divBdr>
        <w:top w:val="none" w:sz="0" w:space="0" w:color="auto"/>
        <w:left w:val="none" w:sz="0" w:space="0" w:color="auto"/>
        <w:bottom w:val="none" w:sz="0" w:space="0" w:color="auto"/>
        <w:right w:val="none" w:sz="0" w:space="0" w:color="auto"/>
      </w:divBdr>
    </w:div>
    <w:div w:id="1154371712">
      <w:bodyDiv w:val="1"/>
      <w:marLeft w:val="0"/>
      <w:marRight w:val="0"/>
      <w:marTop w:val="0"/>
      <w:marBottom w:val="0"/>
      <w:divBdr>
        <w:top w:val="none" w:sz="0" w:space="0" w:color="auto"/>
        <w:left w:val="none" w:sz="0" w:space="0" w:color="auto"/>
        <w:bottom w:val="none" w:sz="0" w:space="0" w:color="auto"/>
        <w:right w:val="none" w:sz="0" w:space="0" w:color="auto"/>
      </w:divBdr>
    </w:div>
    <w:div w:id="1154830922">
      <w:bodyDiv w:val="1"/>
      <w:marLeft w:val="0"/>
      <w:marRight w:val="0"/>
      <w:marTop w:val="0"/>
      <w:marBottom w:val="0"/>
      <w:divBdr>
        <w:top w:val="none" w:sz="0" w:space="0" w:color="auto"/>
        <w:left w:val="none" w:sz="0" w:space="0" w:color="auto"/>
        <w:bottom w:val="none" w:sz="0" w:space="0" w:color="auto"/>
        <w:right w:val="none" w:sz="0" w:space="0" w:color="auto"/>
      </w:divBdr>
    </w:div>
    <w:div w:id="1157918985">
      <w:bodyDiv w:val="1"/>
      <w:marLeft w:val="0"/>
      <w:marRight w:val="0"/>
      <w:marTop w:val="0"/>
      <w:marBottom w:val="0"/>
      <w:divBdr>
        <w:top w:val="none" w:sz="0" w:space="0" w:color="auto"/>
        <w:left w:val="none" w:sz="0" w:space="0" w:color="auto"/>
        <w:bottom w:val="none" w:sz="0" w:space="0" w:color="auto"/>
        <w:right w:val="none" w:sz="0" w:space="0" w:color="auto"/>
      </w:divBdr>
    </w:div>
    <w:div w:id="1160998860">
      <w:bodyDiv w:val="1"/>
      <w:marLeft w:val="0"/>
      <w:marRight w:val="0"/>
      <w:marTop w:val="0"/>
      <w:marBottom w:val="0"/>
      <w:divBdr>
        <w:top w:val="none" w:sz="0" w:space="0" w:color="auto"/>
        <w:left w:val="none" w:sz="0" w:space="0" w:color="auto"/>
        <w:bottom w:val="none" w:sz="0" w:space="0" w:color="auto"/>
        <w:right w:val="none" w:sz="0" w:space="0" w:color="auto"/>
      </w:divBdr>
    </w:div>
    <w:div w:id="1161701596">
      <w:bodyDiv w:val="1"/>
      <w:marLeft w:val="0"/>
      <w:marRight w:val="0"/>
      <w:marTop w:val="0"/>
      <w:marBottom w:val="0"/>
      <w:divBdr>
        <w:top w:val="none" w:sz="0" w:space="0" w:color="auto"/>
        <w:left w:val="none" w:sz="0" w:space="0" w:color="auto"/>
        <w:bottom w:val="none" w:sz="0" w:space="0" w:color="auto"/>
        <w:right w:val="none" w:sz="0" w:space="0" w:color="auto"/>
      </w:divBdr>
    </w:div>
    <w:div w:id="1164978213">
      <w:bodyDiv w:val="1"/>
      <w:marLeft w:val="0"/>
      <w:marRight w:val="0"/>
      <w:marTop w:val="0"/>
      <w:marBottom w:val="0"/>
      <w:divBdr>
        <w:top w:val="none" w:sz="0" w:space="0" w:color="auto"/>
        <w:left w:val="none" w:sz="0" w:space="0" w:color="auto"/>
        <w:bottom w:val="none" w:sz="0" w:space="0" w:color="auto"/>
        <w:right w:val="none" w:sz="0" w:space="0" w:color="auto"/>
      </w:divBdr>
    </w:div>
    <w:div w:id="1174106467">
      <w:bodyDiv w:val="1"/>
      <w:marLeft w:val="0"/>
      <w:marRight w:val="0"/>
      <w:marTop w:val="0"/>
      <w:marBottom w:val="0"/>
      <w:divBdr>
        <w:top w:val="none" w:sz="0" w:space="0" w:color="auto"/>
        <w:left w:val="none" w:sz="0" w:space="0" w:color="auto"/>
        <w:bottom w:val="none" w:sz="0" w:space="0" w:color="auto"/>
        <w:right w:val="none" w:sz="0" w:space="0" w:color="auto"/>
      </w:divBdr>
    </w:div>
    <w:div w:id="1174761006">
      <w:bodyDiv w:val="1"/>
      <w:marLeft w:val="0"/>
      <w:marRight w:val="0"/>
      <w:marTop w:val="0"/>
      <w:marBottom w:val="0"/>
      <w:divBdr>
        <w:top w:val="none" w:sz="0" w:space="0" w:color="auto"/>
        <w:left w:val="none" w:sz="0" w:space="0" w:color="auto"/>
        <w:bottom w:val="none" w:sz="0" w:space="0" w:color="auto"/>
        <w:right w:val="none" w:sz="0" w:space="0" w:color="auto"/>
      </w:divBdr>
    </w:div>
    <w:div w:id="1175875987">
      <w:bodyDiv w:val="1"/>
      <w:marLeft w:val="0"/>
      <w:marRight w:val="0"/>
      <w:marTop w:val="0"/>
      <w:marBottom w:val="0"/>
      <w:divBdr>
        <w:top w:val="none" w:sz="0" w:space="0" w:color="auto"/>
        <w:left w:val="none" w:sz="0" w:space="0" w:color="auto"/>
        <w:bottom w:val="none" w:sz="0" w:space="0" w:color="auto"/>
        <w:right w:val="none" w:sz="0" w:space="0" w:color="auto"/>
      </w:divBdr>
    </w:div>
    <w:div w:id="1180975306">
      <w:bodyDiv w:val="1"/>
      <w:marLeft w:val="0"/>
      <w:marRight w:val="0"/>
      <w:marTop w:val="0"/>
      <w:marBottom w:val="0"/>
      <w:divBdr>
        <w:top w:val="none" w:sz="0" w:space="0" w:color="auto"/>
        <w:left w:val="none" w:sz="0" w:space="0" w:color="auto"/>
        <w:bottom w:val="none" w:sz="0" w:space="0" w:color="auto"/>
        <w:right w:val="none" w:sz="0" w:space="0" w:color="auto"/>
      </w:divBdr>
    </w:div>
    <w:div w:id="1183281399">
      <w:bodyDiv w:val="1"/>
      <w:marLeft w:val="0"/>
      <w:marRight w:val="0"/>
      <w:marTop w:val="0"/>
      <w:marBottom w:val="0"/>
      <w:divBdr>
        <w:top w:val="none" w:sz="0" w:space="0" w:color="auto"/>
        <w:left w:val="none" w:sz="0" w:space="0" w:color="auto"/>
        <w:bottom w:val="none" w:sz="0" w:space="0" w:color="auto"/>
        <w:right w:val="none" w:sz="0" w:space="0" w:color="auto"/>
      </w:divBdr>
    </w:div>
    <w:div w:id="1189950220">
      <w:bodyDiv w:val="1"/>
      <w:marLeft w:val="0"/>
      <w:marRight w:val="0"/>
      <w:marTop w:val="0"/>
      <w:marBottom w:val="0"/>
      <w:divBdr>
        <w:top w:val="none" w:sz="0" w:space="0" w:color="auto"/>
        <w:left w:val="none" w:sz="0" w:space="0" w:color="auto"/>
        <w:bottom w:val="none" w:sz="0" w:space="0" w:color="auto"/>
        <w:right w:val="none" w:sz="0" w:space="0" w:color="auto"/>
      </w:divBdr>
    </w:div>
    <w:div w:id="1191796749">
      <w:bodyDiv w:val="1"/>
      <w:marLeft w:val="0"/>
      <w:marRight w:val="0"/>
      <w:marTop w:val="0"/>
      <w:marBottom w:val="0"/>
      <w:divBdr>
        <w:top w:val="none" w:sz="0" w:space="0" w:color="auto"/>
        <w:left w:val="none" w:sz="0" w:space="0" w:color="auto"/>
        <w:bottom w:val="none" w:sz="0" w:space="0" w:color="auto"/>
        <w:right w:val="none" w:sz="0" w:space="0" w:color="auto"/>
      </w:divBdr>
    </w:div>
    <w:div w:id="1192576375">
      <w:bodyDiv w:val="1"/>
      <w:marLeft w:val="0"/>
      <w:marRight w:val="0"/>
      <w:marTop w:val="0"/>
      <w:marBottom w:val="0"/>
      <w:divBdr>
        <w:top w:val="none" w:sz="0" w:space="0" w:color="auto"/>
        <w:left w:val="none" w:sz="0" w:space="0" w:color="auto"/>
        <w:bottom w:val="none" w:sz="0" w:space="0" w:color="auto"/>
        <w:right w:val="none" w:sz="0" w:space="0" w:color="auto"/>
      </w:divBdr>
    </w:div>
    <w:div w:id="1193348586">
      <w:bodyDiv w:val="1"/>
      <w:marLeft w:val="0"/>
      <w:marRight w:val="0"/>
      <w:marTop w:val="0"/>
      <w:marBottom w:val="0"/>
      <w:divBdr>
        <w:top w:val="none" w:sz="0" w:space="0" w:color="auto"/>
        <w:left w:val="none" w:sz="0" w:space="0" w:color="auto"/>
        <w:bottom w:val="none" w:sz="0" w:space="0" w:color="auto"/>
        <w:right w:val="none" w:sz="0" w:space="0" w:color="auto"/>
      </w:divBdr>
    </w:div>
    <w:div w:id="1194542208">
      <w:bodyDiv w:val="1"/>
      <w:marLeft w:val="0"/>
      <w:marRight w:val="0"/>
      <w:marTop w:val="0"/>
      <w:marBottom w:val="0"/>
      <w:divBdr>
        <w:top w:val="none" w:sz="0" w:space="0" w:color="auto"/>
        <w:left w:val="none" w:sz="0" w:space="0" w:color="auto"/>
        <w:bottom w:val="none" w:sz="0" w:space="0" w:color="auto"/>
        <w:right w:val="none" w:sz="0" w:space="0" w:color="auto"/>
      </w:divBdr>
    </w:div>
    <w:div w:id="1197818253">
      <w:bodyDiv w:val="1"/>
      <w:marLeft w:val="0"/>
      <w:marRight w:val="0"/>
      <w:marTop w:val="0"/>
      <w:marBottom w:val="0"/>
      <w:divBdr>
        <w:top w:val="none" w:sz="0" w:space="0" w:color="auto"/>
        <w:left w:val="none" w:sz="0" w:space="0" w:color="auto"/>
        <w:bottom w:val="none" w:sz="0" w:space="0" w:color="auto"/>
        <w:right w:val="none" w:sz="0" w:space="0" w:color="auto"/>
      </w:divBdr>
    </w:div>
    <w:div w:id="1199203654">
      <w:bodyDiv w:val="1"/>
      <w:marLeft w:val="0"/>
      <w:marRight w:val="0"/>
      <w:marTop w:val="0"/>
      <w:marBottom w:val="0"/>
      <w:divBdr>
        <w:top w:val="none" w:sz="0" w:space="0" w:color="auto"/>
        <w:left w:val="none" w:sz="0" w:space="0" w:color="auto"/>
        <w:bottom w:val="none" w:sz="0" w:space="0" w:color="auto"/>
        <w:right w:val="none" w:sz="0" w:space="0" w:color="auto"/>
      </w:divBdr>
    </w:div>
    <w:div w:id="1200586233">
      <w:bodyDiv w:val="1"/>
      <w:marLeft w:val="0"/>
      <w:marRight w:val="0"/>
      <w:marTop w:val="0"/>
      <w:marBottom w:val="0"/>
      <w:divBdr>
        <w:top w:val="none" w:sz="0" w:space="0" w:color="auto"/>
        <w:left w:val="none" w:sz="0" w:space="0" w:color="auto"/>
        <w:bottom w:val="none" w:sz="0" w:space="0" w:color="auto"/>
        <w:right w:val="none" w:sz="0" w:space="0" w:color="auto"/>
      </w:divBdr>
    </w:div>
    <w:div w:id="1203664407">
      <w:bodyDiv w:val="1"/>
      <w:marLeft w:val="0"/>
      <w:marRight w:val="0"/>
      <w:marTop w:val="0"/>
      <w:marBottom w:val="0"/>
      <w:divBdr>
        <w:top w:val="none" w:sz="0" w:space="0" w:color="auto"/>
        <w:left w:val="none" w:sz="0" w:space="0" w:color="auto"/>
        <w:bottom w:val="none" w:sz="0" w:space="0" w:color="auto"/>
        <w:right w:val="none" w:sz="0" w:space="0" w:color="auto"/>
      </w:divBdr>
    </w:div>
    <w:div w:id="1208180433">
      <w:bodyDiv w:val="1"/>
      <w:marLeft w:val="0"/>
      <w:marRight w:val="0"/>
      <w:marTop w:val="0"/>
      <w:marBottom w:val="0"/>
      <w:divBdr>
        <w:top w:val="none" w:sz="0" w:space="0" w:color="auto"/>
        <w:left w:val="none" w:sz="0" w:space="0" w:color="auto"/>
        <w:bottom w:val="none" w:sz="0" w:space="0" w:color="auto"/>
        <w:right w:val="none" w:sz="0" w:space="0" w:color="auto"/>
      </w:divBdr>
    </w:div>
    <w:div w:id="1209105890">
      <w:bodyDiv w:val="1"/>
      <w:marLeft w:val="0"/>
      <w:marRight w:val="0"/>
      <w:marTop w:val="0"/>
      <w:marBottom w:val="0"/>
      <w:divBdr>
        <w:top w:val="none" w:sz="0" w:space="0" w:color="auto"/>
        <w:left w:val="none" w:sz="0" w:space="0" w:color="auto"/>
        <w:bottom w:val="none" w:sz="0" w:space="0" w:color="auto"/>
        <w:right w:val="none" w:sz="0" w:space="0" w:color="auto"/>
      </w:divBdr>
    </w:div>
    <w:div w:id="1210536601">
      <w:bodyDiv w:val="1"/>
      <w:marLeft w:val="0"/>
      <w:marRight w:val="0"/>
      <w:marTop w:val="0"/>
      <w:marBottom w:val="0"/>
      <w:divBdr>
        <w:top w:val="none" w:sz="0" w:space="0" w:color="auto"/>
        <w:left w:val="none" w:sz="0" w:space="0" w:color="auto"/>
        <w:bottom w:val="none" w:sz="0" w:space="0" w:color="auto"/>
        <w:right w:val="none" w:sz="0" w:space="0" w:color="auto"/>
      </w:divBdr>
    </w:div>
    <w:div w:id="1218591870">
      <w:bodyDiv w:val="1"/>
      <w:marLeft w:val="0"/>
      <w:marRight w:val="0"/>
      <w:marTop w:val="0"/>
      <w:marBottom w:val="0"/>
      <w:divBdr>
        <w:top w:val="none" w:sz="0" w:space="0" w:color="auto"/>
        <w:left w:val="none" w:sz="0" w:space="0" w:color="auto"/>
        <w:bottom w:val="none" w:sz="0" w:space="0" w:color="auto"/>
        <w:right w:val="none" w:sz="0" w:space="0" w:color="auto"/>
      </w:divBdr>
    </w:div>
    <w:div w:id="1218858801">
      <w:bodyDiv w:val="1"/>
      <w:marLeft w:val="0"/>
      <w:marRight w:val="0"/>
      <w:marTop w:val="0"/>
      <w:marBottom w:val="0"/>
      <w:divBdr>
        <w:top w:val="none" w:sz="0" w:space="0" w:color="auto"/>
        <w:left w:val="none" w:sz="0" w:space="0" w:color="auto"/>
        <w:bottom w:val="none" w:sz="0" w:space="0" w:color="auto"/>
        <w:right w:val="none" w:sz="0" w:space="0" w:color="auto"/>
      </w:divBdr>
    </w:div>
    <w:div w:id="1219971825">
      <w:bodyDiv w:val="1"/>
      <w:marLeft w:val="0"/>
      <w:marRight w:val="0"/>
      <w:marTop w:val="0"/>
      <w:marBottom w:val="0"/>
      <w:divBdr>
        <w:top w:val="none" w:sz="0" w:space="0" w:color="auto"/>
        <w:left w:val="none" w:sz="0" w:space="0" w:color="auto"/>
        <w:bottom w:val="none" w:sz="0" w:space="0" w:color="auto"/>
        <w:right w:val="none" w:sz="0" w:space="0" w:color="auto"/>
      </w:divBdr>
    </w:div>
    <w:div w:id="1235240162">
      <w:bodyDiv w:val="1"/>
      <w:marLeft w:val="0"/>
      <w:marRight w:val="0"/>
      <w:marTop w:val="0"/>
      <w:marBottom w:val="0"/>
      <w:divBdr>
        <w:top w:val="none" w:sz="0" w:space="0" w:color="auto"/>
        <w:left w:val="none" w:sz="0" w:space="0" w:color="auto"/>
        <w:bottom w:val="none" w:sz="0" w:space="0" w:color="auto"/>
        <w:right w:val="none" w:sz="0" w:space="0" w:color="auto"/>
      </w:divBdr>
    </w:div>
    <w:div w:id="1235354054">
      <w:bodyDiv w:val="1"/>
      <w:marLeft w:val="0"/>
      <w:marRight w:val="0"/>
      <w:marTop w:val="0"/>
      <w:marBottom w:val="0"/>
      <w:divBdr>
        <w:top w:val="none" w:sz="0" w:space="0" w:color="auto"/>
        <w:left w:val="none" w:sz="0" w:space="0" w:color="auto"/>
        <w:bottom w:val="none" w:sz="0" w:space="0" w:color="auto"/>
        <w:right w:val="none" w:sz="0" w:space="0" w:color="auto"/>
      </w:divBdr>
    </w:div>
    <w:div w:id="1244295603">
      <w:bodyDiv w:val="1"/>
      <w:marLeft w:val="0"/>
      <w:marRight w:val="0"/>
      <w:marTop w:val="0"/>
      <w:marBottom w:val="0"/>
      <w:divBdr>
        <w:top w:val="none" w:sz="0" w:space="0" w:color="auto"/>
        <w:left w:val="none" w:sz="0" w:space="0" w:color="auto"/>
        <w:bottom w:val="none" w:sz="0" w:space="0" w:color="auto"/>
        <w:right w:val="none" w:sz="0" w:space="0" w:color="auto"/>
      </w:divBdr>
    </w:div>
    <w:div w:id="1254699665">
      <w:bodyDiv w:val="1"/>
      <w:marLeft w:val="0"/>
      <w:marRight w:val="0"/>
      <w:marTop w:val="0"/>
      <w:marBottom w:val="0"/>
      <w:divBdr>
        <w:top w:val="none" w:sz="0" w:space="0" w:color="auto"/>
        <w:left w:val="none" w:sz="0" w:space="0" w:color="auto"/>
        <w:bottom w:val="none" w:sz="0" w:space="0" w:color="auto"/>
        <w:right w:val="none" w:sz="0" w:space="0" w:color="auto"/>
      </w:divBdr>
    </w:div>
    <w:div w:id="1255549929">
      <w:bodyDiv w:val="1"/>
      <w:marLeft w:val="0"/>
      <w:marRight w:val="0"/>
      <w:marTop w:val="0"/>
      <w:marBottom w:val="0"/>
      <w:divBdr>
        <w:top w:val="none" w:sz="0" w:space="0" w:color="auto"/>
        <w:left w:val="none" w:sz="0" w:space="0" w:color="auto"/>
        <w:bottom w:val="none" w:sz="0" w:space="0" w:color="auto"/>
        <w:right w:val="none" w:sz="0" w:space="0" w:color="auto"/>
      </w:divBdr>
    </w:div>
    <w:div w:id="1259219549">
      <w:bodyDiv w:val="1"/>
      <w:marLeft w:val="0"/>
      <w:marRight w:val="0"/>
      <w:marTop w:val="0"/>
      <w:marBottom w:val="0"/>
      <w:divBdr>
        <w:top w:val="none" w:sz="0" w:space="0" w:color="auto"/>
        <w:left w:val="none" w:sz="0" w:space="0" w:color="auto"/>
        <w:bottom w:val="none" w:sz="0" w:space="0" w:color="auto"/>
        <w:right w:val="none" w:sz="0" w:space="0" w:color="auto"/>
      </w:divBdr>
    </w:div>
    <w:div w:id="1265190809">
      <w:bodyDiv w:val="1"/>
      <w:marLeft w:val="0"/>
      <w:marRight w:val="0"/>
      <w:marTop w:val="0"/>
      <w:marBottom w:val="0"/>
      <w:divBdr>
        <w:top w:val="none" w:sz="0" w:space="0" w:color="auto"/>
        <w:left w:val="none" w:sz="0" w:space="0" w:color="auto"/>
        <w:bottom w:val="none" w:sz="0" w:space="0" w:color="auto"/>
        <w:right w:val="none" w:sz="0" w:space="0" w:color="auto"/>
      </w:divBdr>
    </w:div>
    <w:div w:id="1266230520">
      <w:bodyDiv w:val="1"/>
      <w:marLeft w:val="0"/>
      <w:marRight w:val="0"/>
      <w:marTop w:val="0"/>
      <w:marBottom w:val="0"/>
      <w:divBdr>
        <w:top w:val="none" w:sz="0" w:space="0" w:color="auto"/>
        <w:left w:val="none" w:sz="0" w:space="0" w:color="auto"/>
        <w:bottom w:val="none" w:sz="0" w:space="0" w:color="auto"/>
        <w:right w:val="none" w:sz="0" w:space="0" w:color="auto"/>
      </w:divBdr>
    </w:div>
    <w:div w:id="1271158765">
      <w:bodyDiv w:val="1"/>
      <w:marLeft w:val="0"/>
      <w:marRight w:val="0"/>
      <w:marTop w:val="0"/>
      <w:marBottom w:val="0"/>
      <w:divBdr>
        <w:top w:val="none" w:sz="0" w:space="0" w:color="auto"/>
        <w:left w:val="none" w:sz="0" w:space="0" w:color="auto"/>
        <w:bottom w:val="none" w:sz="0" w:space="0" w:color="auto"/>
        <w:right w:val="none" w:sz="0" w:space="0" w:color="auto"/>
      </w:divBdr>
    </w:div>
    <w:div w:id="1271549286">
      <w:bodyDiv w:val="1"/>
      <w:marLeft w:val="0"/>
      <w:marRight w:val="0"/>
      <w:marTop w:val="0"/>
      <w:marBottom w:val="0"/>
      <w:divBdr>
        <w:top w:val="none" w:sz="0" w:space="0" w:color="auto"/>
        <w:left w:val="none" w:sz="0" w:space="0" w:color="auto"/>
        <w:bottom w:val="none" w:sz="0" w:space="0" w:color="auto"/>
        <w:right w:val="none" w:sz="0" w:space="0" w:color="auto"/>
      </w:divBdr>
    </w:div>
    <w:div w:id="1277953996">
      <w:bodyDiv w:val="1"/>
      <w:marLeft w:val="0"/>
      <w:marRight w:val="0"/>
      <w:marTop w:val="0"/>
      <w:marBottom w:val="0"/>
      <w:divBdr>
        <w:top w:val="none" w:sz="0" w:space="0" w:color="auto"/>
        <w:left w:val="none" w:sz="0" w:space="0" w:color="auto"/>
        <w:bottom w:val="none" w:sz="0" w:space="0" w:color="auto"/>
        <w:right w:val="none" w:sz="0" w:space="0" w:color="auto"/>
      </w:divBdr>
    </w:div>
    <w:div w:id="1281457111">
      <w:bodyDiv w:val="1"/>
      <w:marLeft w:val="0"/>
      <w:marRight w:val="0"/>
      <w:marTop w:val="0"/>
      <w:marBottom w:val="0"/>
      <w:divBdr>
        <w:top w:val="none" w:sz="0" w:space="0" w:color="auto"/>
        <w:left w:val="none" w:sz="0" w:space="0" w:color="auto"/>
        <w:bottom w:val="none" w:sz="0" w:space="0" w:color="auto"/>
        <w:right w:val="none" w:sz="0" w:space="0" w:color="auto"/>
      </w:divBdr>
    </w:div>
    <w:div w:id="1281915358">
      <w:bodyDiv w:val="1"/>
      <w:marLeft w:val="0"/>
      <w:marRight w:val="0"/>
      <w:marTop w:val="0"/>
      <w:marBottom w:val="0"/>
      <w:divBdr>
        <w:top w:val="none" w:sz="0" w:space="0" w:color="auto"/>
        <w:left w:val="none" w:sz="0" w:space="0" w:color="auto"/>
        <w:bottom w:val="none" w:sz="0" w:space="0" w:color="auto"/>
        <w:right w:val="none" w:sz="0" w:space="0" w:color="auto"/>
      </w:divBdr>
    </w:div>
    <w:div w:id="1287542727">
      <w:bodyDiv w:val="1"/>
      <w:marLeft w:val="0"/>
      <w:marRight w:val="0"/>
      <w:marTop w:val="0"/>
      <w:marBottom w:val="0"/>
      <w:divBdr>
        <w:top w:val="none" w:sz="0" w:space="0" w:color="auto"/>
        <w:left w:val="none" w:sz="0" w:space="0" w:color="auto"/>
        <w:bottom w:val="none" w:sz="0" w:space="0" w:color="auto"/>
        <w:right w:val="none" w:sz="0" w:space="0" w:color="auto"/>
      </w:divBdr>
    </w:div>
    <w:div w:id="1291590246">
      <w:bodyDiv w:val="1"/>
      <w:marLeft w:val="0"/>
      <w:marRight w:val="0"/>
      <w:marTop w:val="0"/>
      <w:marBottom w:val="0"/>
      <w:divBdr>
        <w:top w:val="none" w:sz="0" w:space="0" w:color="auto"/>
        <w:left w:val="none" w:sz="0" w:space="0" w:color="auto"/>
        <w:bottom w:val="none" w:sz="0" w:space="0" w:color="auto"/>
        <w:right w:val="none" w:sz="0" w:space="0" w:color="auto"/>
      </w:divBdr>
    </w:div>
    <w:div w:id="1291790835">
      <w:bodyDiv w:val="1"/>
      <w:marLeft w:val="0"/>
      <w:marRight w:val="0"/>
      <w:marTop w:val="0"/>
      <w:marBottom w:val="0"/>
      <w:divBdr>
        <w:top w:val="none" w:sz="0" w:space="0" w:color="auto"/>
        <w:left w:val="none" w:sz="0" w:space="0" w:color="auto"/>
        <w:bottom w:val="none" w:sz="0" w:space="0" w:color="auto"/>
        <w:right w:val="none" w:sz="0" w:space="0" w:color="auto"/>
      </w:divBdr>
    </w:div>
    <w:div w:id="1293947729">
      <w:bodyDiv w:val="1"/>
      <w:marLeft w:val="0"/>
      <w:marRight w:val="0"/>
      <w:marTop w:val="0"/>
      <w:marBottom w:val="0"/>
      <w:divBdr>
        <w:top w:val="none" w:sz="0" w:space="0" w:color="auto"/>
        <w:left w:val="none" w:sz="0" w:space="0" w:color="auto"/>
        <w:bottom w:val="none" w:sz="0" w:space="0" w:color="auto"/>
        <w:right w:val="none" w:sz="0" w:space="0" w:color="auto"/>
      </w:divBdr>
    </w:div>
    <w:div w:id="1294411742">
      <w:bodyDiv w:val="1"/>
      <w:marLeft w:val="0"/>
      <w:marRight w:val="0"/>
      <w:marTop w:val="0"/>
      <w:marBottom w:val="0"/>
      <w:divBdr>
        <w:top w:val="none" w:sz="0" w:space="0" w:color="auto"/>
        <w:left w:val="none" w:sz="0" w:space="0" w:color="auto"/>
        <w:bottom w:val="none" w:sz="0" w:space="0" w:color="auto"/>
        <w:right w:val="none" w:sz="0" w:space="0" w:color="auto"/>
      </w:divBdr>
    </w:div>
    <w:div w:id="1294798612">
      <w:bodyDiv w:val="1"/>
      <w:marLeft w:val="0"/>
      <w:marRight w:val="0"/>
      <w:marTop w:val="0"/>
      <w:marBottom w:val="0"/>
      <w:divBdr>
        <w:top w:val="none" w:sz="0" w:space="0" w:color="auto"/>
        <w:left w:val="none" w:sz="0" w:space="0" w:color="auto"/>
        <w:bottom w:val="none" w:sz="0" w:space="0" w:color="auto"/>
        <w:right w:val="none" w:sz="0" w:space="0" w:color="auto"/>
      </w:divBdr>
    </w:div>
    <w:div w:id="1301181453">
      <w:bodyDiv w:val="1"/>
      <w:marLeft w:val="0"/>
      <w:marRight w:val="0"/>
      <w:marTop w:val="0"/>
      <w:marBottom w:val="0"/>
      <w:divBdr>
        <w:top w:val="none" w:sz="0" w:space="0" w:color="auto"/>
        <w:left w:val="none" w:sz="0" w:space="0" w:color="auto"/>
        <w:bottom w:val="none" w:sz="0" w:space="0" w:color="auto"/>
        <w:right w:val="none" w:sz="0" w:space="0" w:color="auto"/>
      </w:divBdr>
    </w:div>
    <w:div w:id="1301375597">
      <w:bodyDiv w:val="1"/>
      <w:marLeft w:val="0"/>
      <w:marRight w:val="0"/>
      <w:marTop w:val="0"/>
      <w:marBottom w:val="0"/>
      <w:divBdr>
        <w:top w:val="none" w:sz="0" w:space="0" w:color="auto"/>
        <w:left w:val="none" w:sz="0" w:space="0" w:color="auto"/>
        <w:bottom w:val="none" w:sz="0" w:space="0" w:color="auto"/>
        <w:right w:val="none" w:sz="0" w:space="0" w:color="auto"/>
      </w:divBdr>
    </w:div>
    <w:div w:id="1302731378">
      <w:bodyDiv w:val="1"/>
      <w:marLeft w:val="0"/>
      <w:marRight w:val="0"/>
      <w:marTop w:val="0"/>
      <w:marBottom w:val="0"/>
      <w:divBdr>
        <w:top w:val="none" w:sz="0" w:space="0" w:color="auto"/>
        <w:left w:val="none" w:sz="0" w:space="0" w:color="auto"/>
        <w:bottom w:val="none" w:sz="0" w:space="0" w:color="auto"/>
        <w:right w:val="none" w:sz="0" w:space="0" w:color="auto"/>
      </w:divBdr>
    </w:div>
    <w:div w:id="1304506900">
      <w:bodyDiv w:val="1"/>
      <w:marLeft w:val="0"/>
      <w:marRight w:val="0"/>
      <w:marTop w:val="0"/>
      <w:marBottom w:val="0"/>
      <w:divBdr>
        <w:top w:val="none" w:sz="0" w:space="0" w:color="auto"/>
        <w:left w:val="none" w:sz="0" w:space="0" w:color="auto"/>
        <w:bottom w:val="none" w:sz="0" w:space="0" w:color="auto"/>
        <w:right w:val="none" w:sz="0" w:space="0" w:color="auto"/>
      </w:divBdr>
    </w:div>
    <w:div w:id="1307473358">
      <w:bodyDiv w:val="1"/>
      <w:marLeft w:val="0"/>
      <w:marRight w:val="0"/>
      <w:marTop w:val="0"/>
      <w:marBottom w:val="0"/>
      <w:divBdr>
        <w:top w:val="none" w:sz="0" w:space="0" w:color="auto"/>
        <w:left w:val="none" w:sz="0" w:space="0" w:color="auto"/>
        <w:bottom w:val="none" w:sz="0" w:space="0" w:color="auto"/>
        <w:right w:val="none" w:sz="0" w:space="0" w:color="auto"/>
      </w:divBdr>
    </w:div>
    <w:div w:id="1310863402">
      <w:bodyDiv w:val="1"/>
      <w:marLeft w:val="0"/>
      <w:marRight w:val="0"/>
      <w:marTop w:val="0"/>
      <w:marBottom w:val="0"/>
      <w:divBdr>
        <w:top w:val="none" w:sz="0" w:space="0" w:color="auto"/>
        <w:left w:val="none" w:sz="0" w:space="0" w:color="auto"/>
        <w:bottom w:val="none" w:sz="0" w:space="0" w:color="auto"/>
        <w:right w:val="none" w:sz="0" w:space="0" w:color="auto"/>
      </w:divBdr>
    </w:div>
    <w:div w:id="1314330780">
      <w:bodyDiv w:val="1"/>
      <w:marLeft w:val="0"/>
      <w:marRight w:val="0"/>
      <w:marTop w:val="0"/>
      <w:marBottom w:val="0"/>
      <w:divBdr>
        <w:top w:val="none" w:sz="0" w:space="0" w:color="auto"/>
        <w:left w:val="none" w:sz="0" w:space="0" w:color="auto"/>
        <w:bottom w:val="none" w:sz="0" w:space="0" w:color="auto"/>
        <w:right w:val="none" w:sz="0" w:space="0" w:color="auto"/>
      </w:divBdr>
    </w:div>
    <w:div w:id="1317606383">
      <w:bodyDiv w:val="1"/>
      <w:marLeft w:val="0"/>
      <w:marRight w:val="0"/>
      <w:marTop w:val="0"/>
      <w:marBottom w:val="0"/>
      <w:divBdr>
        <w:top w:val="none" w:sz="0" w:space="0" w:color="auto"/>
        <w:left w:val="none" w:sz="0" w:space="0" w:color="auto"/>
        <w:bottom w:val="none" w:sz="0" w:space="0" w:color="auto"/>
        <w:right w:val="none" w:sz="0" w:space="0" w:color="auto"/>
      </w:divBdr>
    </w:div>
    <w:div w:id="1322390501">
      <w:bodyDiv w:val="1"/>
      <w:marLeft w:val="0"/>
      <w:marRight w:val="0"/>
      <w:marTop w:val="0"/>
      <w:marBottom w:val="0"/>
      <w:divBdr>
        <w:top w:val="none" w:sz="0" w:space="0" w:color="auto"/>
        <w:left w:val="none" w:sz="0" w:space="0" w:color="auto"/>
        <w:bottom w:val="none" w:sz="0" w:space="0" w:color="auto"/>
        <w:right w:val="none" w:sz="0" w:space="0" w:color="auto"/>
      </w:divBdr>
    </w:div>
    <w:div w:id="1322661186">
      <w:bodyDiv w:val="1"/>
      <w:marLeft w:val="0"/>
      <w:marRight w:val="0"/>
      <w:marTop w:val="0"/>
      <w:marBottom w:val="0"/>
      <w:divBdr>
        <w:top w:val="none" w:sz="0" w:space="0" w:color="auto"/>
        <w:left w:val="none" w:sz="0" w:space="0" w:color="auto"/>
        <w:bottom w:val="none" w:sz="0" w:space="0" w:color="auto"/>
        <w:right w:val="none" w:sz="0" w:space="0" w:color="auto"/>
      </w:divBdr>
    </w:div>
    <w:div w:id="1324162352">
      <w:bodyDiv w:val="1"/>
      <w:marLeft w:val="0"/>
      <w:marRight w:val="0"/>
      <w:marTop w:val="0"/>
      <w:marBottom w:val="0"/>
      <w:divBdr>
        <w:top w:val="none" w:sz="0" w:space="0" w:color="auto"/>
        <w:left w:val="none" w:sz="0" w:space="0" w:color="auto"/>
        <w:bottom w:val="none" w:sz="0" w:space="0" w:color="auto"/>
        <w:right w:val="none" w:sz="0" w:space="0" w:color="auto"/>
      </w:divBdr>
    </w:div>
    <w:div w:id="1325550792">
      <w:bodyDiv w:val="1"/>
      <w:marLeft w:val="0"/>
      <w:marRight w:val="0"/>
      <w:marTop w:val="0"/>
      <w:marBottom w:val="0"/>
      <w:divBdr>
        <w:top w:val="none" w:sz="0" w:space="0" w:color="auto"/>
        <w:left w:val="none" w:sz="0" w:space="0" w:color="auto"/>
        <w:bottom w:val="none" w:sz="0" w:space="0" w:color="auto"/>
        <w:right w:val="none" w:sz="0" w:space="0" w:color="auto"/>
      </w:divBdr>
    </w:div>
    <w:div w:id="1328052673">
      <w:bodyDiv w:val="1"/>
      <w:marLeft w:val="0"/>
      <w:marRight w:val="0"/>
      <w:marTop w:val="0"/>
      <w:marBottom w:val="0"/>
      <w:divBdr>
        <w:top w:val="none" w:sz="0" w:space="0" w:color="auto"/>
        <w:left w:val="none" w:sz="0" w:space="0" w:color="auto"/>
        <w:bottom w:val="none" w:sz="0" w:space="0" w:color="auto"/>
        <w:right w:val="none" w:sz="0" w:space="0" w:color="auto"/>
      </w:divBdr>
    </w:div>
    <w:div w:id="1333993240">
      <w:bodyDiv w:val="1"/>
      <w:marLeft w:val="0"/>
      <w:marRight w:val="0"/>
      <w:marTop w:val="0"/>
      <w:marBottom w:val="0"/>
      <w:divBdr>
        <w:top w:val="none" w:sz="0" w:space="0" w:color="auto"/>
        <w:left w:val="none" w:sz="0" w:space="0" w:color="auto"/>
        <w:bottom w:val="none" w:sz="0" w:space="0" w:color="auto"/>
        <w:right w:val="none" w:sz="0" w:space="0" w:color="auto"/>
      </w:divBdr>
    </w:div>
    <w:div w:id="1336958633">
      <w:bodyDiv w:val="1"/>
      <w:marLeft w:val="0"/>
      <w:marRight w:val="0"/>
      <w:marTop w:val="0"/>
      <w:marBottom w:val="0"/>
      <w:divBdr>
        <w:top w:val="none" w:sz="0" w:space="0" w:color="auto"/>
        <w:left w:val="none" w:sz="0" w:space="0" w:color="auto"/>
        <w:bottom w:val="none" w:sz="0" w:space="0" w:color="auto"/>
        <w:right w:val="none" w:sz="0" w:space="0" w:color="auto"/>
      </w:divBdr>
    </w:div>
    <w:div w:id="1338771974">
      <w:bodyDiv w:val="1"/>
      <w:marLeft w:val="0"/>
      <w:marRight w:val="0"/>
      <w:marTop w:val="0"/>
      <w:marBottom w:val="0"/>
      <w:divBdr>
        <w:top w:val="none" w:sz="0" w:space="0" w:color="auto"/>
        <w:left w:val="none" w:sz="0" w:space="0" w:color="auto"/>
        <w:bottom w:val="none" w:sz="0" w:space="0" w:color="auto"/>
        <w:right w:val="none" w:sz="0" w:space="0" w:color="auto"/>
      </w:divBdr>
    </w:div>
    <w:div w:id="1340547897">
      <w:bodyDiv w:val="1"/>
      <w:marLeft w:val="0"/>
      <w:marRight w:val="0"/>
      <w:marTop w:val="0"/>
      <w:marBottom w:val="0"/>
      <w:divBdr>
        <w:top w:val="none" w:sz="0" w:space="0" w:color="auto"/>
        <w:left w:val="none" w:sz="0" w:space="0" w:color="auto"/>
        <w:bottom w:val="none" w:sz="0" w:space="0" w:color="auto"/>
        <w:right w:val="none" w:sz="0" w:space="0" w:color="auto"/>
      </w:divBdr>
    </w:div>
    <w:div w:id="1342396630">
      <w:bodyDiv w:val="1"/>
      <w:marLeft w:val="0"/>
      <w:marRight w:val="0"/>
      <w:marTop w:val="0"/>
      <w:marBottom w:val="0"/>
      <w:divBdr>
        <w:top w:val="none" w:sz="0" w:space="0" w:color="auto"/>
        <w:left w:val="none" w:sz="0" w:space="0" w:color="auto"/>
        <w:bottom w:val="none" w:sz="0" w:space="0" w:color="auto"/>
        <w:right w:val="none" w:sz="0" w:space="0" w:color="auto"/>
      </w:divBdr>
    </w:div>
    <w:div w:id="1351375906">
      <w:bodyDiv w:val="1"/>
      <w:marLeft w:val="0"/>
      <w:marRight w:val="0"/>
      <w:marTop w:val="0"/>
      <w:marBottom w:val="0"/>
      <w:divBdr>
        <w:top w:val="none" w:sz="0" w:space="0" w:color="auto"/>
        <w:left w:val="none" w:sz="0" w:space="0" w:color="auto"/>
        <w:bottom w:val="none" w:sz="0" w:space="0" w:color="auto"/>
        <w:right w:val="none" w:sz="0" w:space="0" w:color="auto"/>
      </w:divBdr>
    </w:div>
    <w:div w:id="1355695745">
      <w:bodyDiv w:val="1"/>
      <w:marLeft w:val="0"/>
      <w:marRight w:val="0"/>
      <w:marTop w:val="0"/>
      <w:marBottom w:val="0"/>
      <w:divBdr>
        <w:top w:val="none" w:sz="0" w:space="0" w:color="auto"/>
        <w:left w:val="none" w:sz="0" w:space="0" w:color="auto"/>
        <w:bottom w:val="none" w:sz="0" w:space="0" w:color="auto"/>
        <w:right w:val="none" w:sz="0" w:space="0" w:color="auto"/>
      </w:divBdr>
    </w:div>
    <w:div w:id="1355956976">
      <w:bodyDiv w:val="1"/>
      <w:marLeft w:val="0"/>
      <w:marRight w:val="0"/>
      <w:marTop w:val="0"/>
      <w:marBottom w:val="0"/>
      <w:divBdr>
        <w:top w:val="none" w:sz="0" w:space="0" w:color="auto"/>
        <w:left w:val="none" w:sz="0" w:space="0" w:color="auto"/>
        <w:bottom w:val="none" w:sz="0" w:space="0" w:color="auto"/>
        <w:right w:val="none" w:sz="0" w:space="0" w:color="auto"/>
      </w:divBdr>
    </w:div>
    <w:div w:id="1357803077">
      <w:bodyDiv w:val="1"/>
      <w:marLeft w:val="0"/>
      <w:marRight w:val="0"/>
      <w:marTop w:val="0"/>
      <w:marBottom w:val="0"/>
      <w:divBdr>
        <w:top w:val="none" w:sz="0" w:space="0" w:color="auto"/>
        <w:left w:val="none" w:sz="0" w:space="0" w:color="auto"/>
        <w:bottom w:val="none" w:sz="0" w:space="0" w:color="auto"/>
        <w:right w:val="none" w:sz="0" w:space="0" w:color="auto"/>
      </w:divBdr>
    </w:div>
    <w:div w:id="1360469842">
      <w:bodyDiv w:val="1"/>
      <w:marLeft w:val="0"/>
      <w:marRight w:val="0"/>
      <w:marTop w:val="0"/>
      <w:marBottom w:val="0"/>
      <w:divBdr>
        <w:top w:val="none" w:sz="0" w:space="0" w:color="auto"/>
        <w:left w:val="none" w:sz="0" w:space="0" w:color="auto"/>
        <w:bottom w:val="none" w:sz="0" w:space="0" w:color="auto"/>
        <w:right w:val="none" w:sz="0" w:space="0" w:color="auto"/>
      </w:divBdr>
    </w:div>
    <w:div w:id="1360546091">
      <w:bodyDiv w:val="1"/>
      <w:marLeft w:val="0"/>
      <w:marRight w:val="0"/>
      <w:marTop w:val="0"/>
      <w:marBottom w:val="0"/>
      <w:divBdr>
        <w:top w:val="none" w:sz="0" w:space="0" w:color="auto"/>
        <w:left w:val="none" w:sz="0" w:space="0" w:color="auto"/>
        <w:bottom w:val="none" w:sz="0" w:space="0" w:color="auto"/>
        <w:right w:val="none" w:sz="0" w:space="0" w:color="auto"/>
      </w:divBdr>
    </w:div>
    <w:div w:id="1364163448">
      <w:bodyDiv w:val="1"/>
      <w:marLeft w:val="0"/>
      <w:marRight w:val="0"/>
      <w:marTop w:val="0"/>
      <w:marBottom w:val="0"/>
      <w:divBdr>
        <w:top w:val="none" w:sz="0" w:space="0" w:color="auto"/>
        <w:left w:val="none" w:sz="0" w:space="0" w:color="auto"/>
        <w:bottom w:val="none" w:sz="0" w:space="0" w:color="auto"/>
        <w:right w:val="none" w:sz="0" w:space="0" w:color="auto"/>
      </w:divBdr>
    </w:div>
    <w:div w:id="1369066333">
      <w:bodyDiv w:val="1"/>
      <w:marLeft w:val="0"/>
      <w:marRight w:val="0"/>
      <w:marTop w:val="0"/>
      <w:marBottom w:val="0"/>
      <w:divBdr>
        <w:top w:val="none" w:sz="0" w:space="0" w:color="auto"/>
        <w:left w:val="none" w:sz="0" w:space="0" w:color="auto"/>
        <w:bottom w:val="none" w:sz="0" w:space="0" w:color="auto"/>
        <w:right w:val="none" w:sz="0" w:space="0" w:color="auto"/>
      </w:divBdr>
    </w:div>
    <w:div w:id="1369180995">
      <w:bodyDiv w:val="1"/>
      <w:marLeft w:val="0"/>
      <w:marRight w:val="0"/>
      <w:marTop w:val="0"/>
      <w:marBottom w:val="0"/>
      <w:divBdr>
        <w:top w:val="none" w:sz="0" w:space="0" w:color="auto"/>
        <w:left w:val="none" w:sz="0" w:space="0" w:color="auto"/>
        <w:bottom w:val="none" w:sz="0" w:space="0" w:color="auto"/>
        <w:right w:val="none" w:sz="0" w:space="0" w:color="auto"/>
      </w:divBdr>
    </w:div>
    <w:div w:id="1369985403">
      <w:bodyDiv w:val="1"/>
      <w:marLeft w:val="0"/>
      <w:marRight w:val="0"/>
      <w:marTop w:val="0"/>
      <w:marBottom w:val="0"/>
      <w:divBdr>
        <w:top w:val="none" w:sz="0" w:space="0" w:color="auto"/>
        <w:left w:val="none" w:sz="0" w:space="0" w:color="auto"/>
        <w:bottom w:val="none" w:sz="0" w:space="0" w:color="auto"/>
        <w:right w:val="none" w:sz="0" w:space="0" w:color="auto"/>
      </w:divBdr>
    </w:div>
    <w:div w:id="1371488691">
      <w:bodyDiv w:val="1"/>
      <w:marLeft w:val="0"/>
      <w:marRight w:val="0"/>
      <w:marTop w:val="0"/>
      <w:marBottom w:val="0"/>
      <w:divBdr>
        <w:top w:val="none" w:sz="0" w:space="0" w:color="auto"/>
        <w:left w:val="none" w:sz="0" w:space="0" w:color="auto"/>
        <w:bottom w:val="none" w:sz="0" w:space="0" w:color="auto"/>
        <w:right w:val="none" w:sz="0" w:space="0" w:color="auto"/>
      </w:divBdr>
    </w:div>
    <w:div w:id="1374034763">
      <w:bodyDiv w:val="1"/>
      <w:marLeft w:val="0"/>
      <w:marRight w:val="0"/>
      <w:marTop w:val="0"/>
      <w:marBottom w:val="0"/>
      <w:divBdr>
        <w:top w:val="none" w:sz="0" w:space="0" w:color="auto"/>
        <w:left w:val="none" w:sz="0" w:space="0" w:color="auto"/>
        <w:bottom w:val="none" w:sz="0" w:space="0" w:color="auto"/>
        <w:right w:val="none" w:sz="0" w:space="0" w:color="auto"/>
      </w:divBdr>
    </w:div>
    <w:div w:id="1375807795">
      <w:bodyDiv w:val="1"/>
      <w:marLeft w:val="0"/>
      <w:marRight w:val="0"/>
      <w:marTop w:val="0"/>
      <w:marBottom w:val="0"/>
      <w:divBdr>
        <w:top w:val="none" w:sz="0" w:space="0" w:color="auto"/>
        <w:left w:val="none" w:sz="0" w:space="0" w:color="auto"/>
        <w:bottom w:val="none" w:sz="0" w:space="0" w:color="auto"/>
        <w:right w:val="none" w:sz="0" w:space="0" w:color="auto"/>
      </w:divBdr>
    </w:div>
    <w:div w:id="1384987127">
      <w:bodyDiv w:val="1"/>
      <w:marLeft w:val="0"/>
      <w:marRight w:val="0"/>
      <w:marTop w:val="0"/>
      <w:marBottom w:val="0"/>
      <w:divBdr>
        <w:top w:val="none" w:sz="0" w:space="0" w:color="auto"/>
        <w:left w:val="none" w:sz="0" w:space="0" w:color="auto"/>
        <w:bottom w:val="none" w:sz="0" w:space="0" w:color="auto"/>
        <w:right w:val="none" w:sz="0" w:space="0" w:color="auto"/>
      </w:divBdr>
    </w:div>
    <w:div w:id="1389183557">
      <w:bodyDiv w:val="1"/>
      <w:marLeft w:val="0"/>
      <w:marRight w:val="0"/>
      <w:marTop w:val="0"/>
      <w:marBottom w:val="0"/>
      <w:divBdr>
        <w:top w:val="none" w:sz="0" w:space="0" w:color="auto"/>
        <w:left w:val="none" w:sz="0" w:space="0" w:color="auto"/>
        <w:bottom w:val="none" w:sz="0" w:space="0" w:color="auto"/>
        <w:right w:val="none" w:sz="0" w:space="0" w:color="auto"/>
      </w:divBdr>
    </w:div>
    <w:div w:id="1396008346">
      <w:bodyDiv w:val="1"/>
      <w:marLeft w:val="0"/>
      <w:marRight w:val="0"/>
      <w:marTop w:val="0"/>
      <w:marBottom w:val="0"/>
      <w:divBdr>
        <w:top w:val="none" w:sz="0" w:space="0" w:color="auto"/>
        <w:left w:val="none" w:sz="0" w:space="0" w:color="auto"/>
        <w:bottom w:val="none" w:sz="0" w:space="0" w:color="auto"/>
        <w:right w:val="none" w:sz="0" w:space="0" w:color="auto"/>
      </w:divBdr>
    </w:div>
    <w:div w:id="1400444022">
      <w:bodyDiv w:val="1"/>
      <w:marLeft w:val="0"/>
      <w:marRight w:val="0"/>
      <w:marTop w:val="0"/>
      <w:marBottom w:val="0"/>
      <w:divBdr>
        <w:top w:val="none" w:sz="0" w:space="0" w:color="auto"/>
        <w:left w:val="none" w:sz="0" w:space="0" w:color="auto"/>
        <w:bottom w:val="none" w:sz="0" w:space="0" w:color="auto"/>
        <w:right w:val="none" w:sz="0" w:space="0" w:color="auto"/>
      </w:divBdr>
    </w:div>
    <w:div w:id="1403288870">
      <w:bodyDiv w:val="1"/>
      <w:marLeft w:val="0"/>
      <w:marRight w:val="0"/>
      <w:marTop w:val="0"/>
      <w:marBottom w:val="0"/>
      <w:divBdr>
        <w:top w:val="none" w:sz="0" w:space="0" w:color="auto"/>
        <w:left w:val="none" w:sz="0" w:space="0" w:color="auto"/>
        <w:bottom w:val="none" w:sz="0" w:space="0" w:color="auto"/>
        <w:right w:val="none" w:sz="0" w:space="0" w:color="auto"/>
      </w:divBdr>
    </w:div>
    <w:div w:id="1404067139">
      <w:bodyDiv w:val="1"/>
      <w:marLeft w:val="0"/>
      <w:marRight w:val="0"/>
      <w:marTop w:val="0"/>
      <w:marBottom w:val="0"/>
      <w:divBdr>
        <w:top w:val="none" w:sz="0" w:space="0" w:color="auto"/>
        <w:left w:val="none" w:sz="0" w:space="0" w:color="auto"/>
        <w:bottom w:val="none" w:sz="0" w:space="0" w:color="auto"/>
        <w:right w:val="none" w:sz="0" w:space="0" w:color="auto"/>
      </w:divBdr>
    </w:div>
    <w:div w:id="1405495692">
      <w:bodyDiv w:val="1"/>
      <w:marLeft w:val="0"/>
      <w:marRight w:val="0"/>
      <w:marTop w:val="0"/>
      <w:marBottom w:val="0"/>
      <w:divBdr>
        <w:top w:val="none" w:sz="0" w:space="0" w:color="auto"/>
        <w:left w:val="none" w:sz="0" w:space="0" w:color="auto"/>
        <w:bottom w:val="none" w:sz="0" w:space="0" w:color="auto"/>
        <w:right w:val="none" w:sz="0" w:space="0" w:color="auto"/>
      </w:divBdr>
    </w:div>
    <w:div w:id="1406564135">
      <w:bodyDiv w:val="1"/>
      <w:marLeft w:val="0"/>
      <w:marRight w:val="0"/>
      <w:marTop w:val="0"/>
      <w:marBottom w:val="0"/>
      <w:divBdr>
        <w:top w:val="none" w:sz="0" w:space="0" w:color="auto"/>
        <w:left w:val="none" w:sz="0" w:space="0" w:color="auto"/>
        <w:bottom w:val="none" w:sz="0" w:space="0" w:color="auto"/>
        <w:right w:val="none" w:sz="0" w:space="0" w:color="auto"/>
      </w:divBdr>
    </w:div>
    <w:div w:id="1410927005">
      <w:bodyDiv w:val="1"/>
      <w:marLeft w:val="0"/>
      <w:marRight w:val="0"/>
      <w:marTop w:val="0"/>
      <w:marBottom w:val="0"/>
      <w:divBdr>
        <w:top w:val="none" w:sz="0" w:space="0" w:color="auto"/>
        <w:left w:val="none" w:sz="0" w:space="0" w:color="auto"/>
        <w:bottom w:val="none" w:sz="0" w:space="0" w:color="auto"/>
        <w:right w:val="none" w:sz="0" w:space="0" w:color="auto"/>
      </w:divBdr>
    </w:div>
    <w:div w:id="1417046254">
      <w:bodyDiv w:val="1"/>
      <w:marLeft w:val="0"/>
      <w:marRight w:val="0"/>
      <w:marTop w:val="0"/>
      <w:marBottom w:val="0"/>
      <w:divBdr>
        <w:top w:val="none" w:sz="0" w:space="0" w:color="auto"/>
        <w:left w:val="none" w:sz="0" w:space="0" w:color="auto"/>
        <w:bottom w:val="none" w:sz="0" w:space="0" w:color="auto"/>
        <w:right w:val="none" w:sz="0" w:space="0" w:color="auto"/>
      </w:divBdr>
    </w:div>
    <w:div w:id="1420911856">
      <w:bodyDiv w:val="1"/>
      <w:marLeft w:val="0"/>
      <w:marRight w:val="0"/>
      <w:marTop w:val="0"/>
      <w:marBottom w:val="0"/>
      <w:divBdr>
        <w:top w:val="none" w:sz="0" w:space="0" w:color="auto"/>
        <w:left w:val="none" w:sz="0" w:space="0" w:color="auto"/>
        <w:bottom w:val="none" w:sz="0" w:space="0" w:color="auto"/>
        <w:right w:val="none" w:sz="0" w:space="0" w:color="auto"/>
      </w:divBdr>
    </w:div>
    <w:div w:id="1426733855">
      <w:bodyDiv w:val="1"/>
      <w:marLeft w:val="0"/>
      <w:marRight w:val="0"/>
      <w:marTop w:val="0"/>
      <w:marBottom w:val="0"/>
      <w:divBdr>
        <w:top w:val="none" w:sz="0" w:space="0" w:color="auto"/>
        <w:left w:val="none" w:sz="0" w:space="0" w:color="auto"/>
        <w:bottom w:val="none" w:sz="0" w:space="0" w:color="auto"/>
        <w:right w:val="none" w:sz="0" w:space="0" w:color="auto"/>
      </w:divBdr>
    </w:div>
    <w:div w:id="1433549170">
      <w:bodyDiv w:val="1"/>
      <w:marLeft w:val="0"/>
      <w:marRight w:val="0"/>
      <w:marTop w:val="0"/>
      <w:marBottom w:val="0"/>
      <w:divBdr>
        <w:top w:val="none" w:sz="0" w:space="0" w:color="auto"/>
        <w:left w:val="none" w:sz="0" w:space="0" w:color="auto"/>
        <w:bottom w:val="none" w:sz="0" w:space="0" w:color="auto"/>
        <w:right w:val="none" w:sz="0" w:space="0" w:color="auto"/>
      </w:divBdr>
    </w:div>
    <w:div w:id="1433626608">
      <w:bodyDiv w:val="1"/>
      <w:marLeft w:val="0"/>
      <w:marRight w:val="0"/>
      <w:marTop w:val="0"/>
      <w:marBottom w:val="0"/>
      <w:divBdr>
        <w:top w:val="none" w:sz="0" w:space="0" w:color="auto"/>
        <w:left w:val="none" w:sz="0" w:space="0" w:color="auto"/>
        <w:bottom w:val="none" w:sz="0" w:space="0" w:color="auto"/>
        <w:right w:val="none" w:sz="0" w:space="0" w:color="auto"/>
      </w:divBdr>
    </w:div>
    <w:div w:id="1434321725">
      <w:bodyDiv w:val="1"/>
      <w:marLeft w:val="0"/>
      <w:marRight w:val="0"/>
      <w:marTop w:val="0"/>
      <w:marBottom w:val="0"/>
      <w:divBdr>
        <w:top w:val="none" w:sz="0" w:space="0" w:color="auto"/>
        <w:left w:val="none" w:sz="0" w:space="0" w:color="auto"/>
        <w:bottom w:val="none" w:sz="0" w:space="0" w:color="auto"/>
        <w:right w:val="none" w:sz="0" w:space="0" w:color="auto"/>
      </w:divBdr>
    </w:div>
    <w:div w:id="1440445106">
      <w:bodyDiv w:val="1"/>
      <w:marLeft w:val="0"/>
      <w:marRight w:val="0"/>
      <w:marTop w:val="0"/>
      <w:marBottom w:val="0"/>
      <w:divBdr>
        <w:top w:val="none" w:sz="0" w:space="0" w:color="auto"/>
        <w:left w:val="none" w:sz="0" w:space="0" w:color="auto"/>
        <w:bottom w:val="none" w:sz="0" w:space="0" w:color="auto"/>
        <w:right w:val="none" w:sz="0" w:space="0" w:color="auto"/>
      </w:divBdr>
    </w:div>
    <w:div w:id="1441484364">
      <w:bodyDiv w:val="1"/>
      <w:marLeft w:val="0"/>
      <w:marRight w:val="0"/>
      <w:marTop w:val="0"/>
      <w:marBottom w:val="0"/>
      <w:divBdr>
        <w:top w:val="none" w:sz="0" w:space="0" w:color="auto"/>
        <w:left w:val="none" w:sz="0" w:space="0" w:color="auto"/>
        <w:bottom w:val="none" w:sz="0" w:space="0" w:color="auto"/>
        <w:right w:val="none" w:sz="0" w:space="0" w:color="auto"/>
      </w:divBdr>
    </w:div>
    <w:div w:id="1441489514">
      <w:bodyDiv w:val="1"/>
      <w:marLeft w:val="0"/>
      <w:marRight w:val="0"/>
      <w:marTop w:val="0"/>
      <w:marBottom w:val="0"/>
      <w:divBdr>
        <w:top w:val="none" w:sz="0" w:space="0" w:color="auto"/>
        <w:left w:val="none" w:sz="0" w:space="0" w:color="auto"/>
        <w:bottom w:val="none" w:sz="0" w:space="0" w:color="auto"/>
        <w:right w:val="none" w:sz="0" w:space="0" w:color="auto"/>
      </w:divBdr>
    </w:div>
    <w:div w:id="1442648208">
      <w:bodyDiv w:val="1"/>
      <w:marLeft w:val="0"/>
      <w:marRight w:val="0"/>
      <w:marTop w:val="0"/>
      <w:marBottom w:val="0"/>
      <w:divBdr>
        <w:top w:val="none" w:sz="0" w:space="0" w:color="auto"/>
        <w:left w:val="none" w:sz="0" w:space="0" w:color="auto"/>
        <w:bottom w:val="none" w:sz="0" w:space="0" w:color="auto"/>
        <w:right w:val="none" w:sz="0" w:space="0" w:color="auto"/>
      </w:divBdr>
    </w:div>
    <w:div w:id="1448038713">
      <w:bodyDiv w:val="1"/>
      <w:marLeft w:val="0"/>
      <w:marRight w:val="0"/>
      <w:marTop w:val="0"/>
      <w:marBottom w:val="0"/>
      <w:divBdr>
        <w:top w:val="none" w:sz="0" w:space="0" w:color="auto"/>
        <w:left w:val="none" w:sz="0" w:space="0" w:color="auto"/>
        <w:bottom w:val="none" w:sz="0" w:space="0" w:color="auto"/>
        <w:right w:val="none" w:sz="0" w:space="0" w:color="auto"/>
      </w:divBdr>
    </w:div>
    <w:div w:id="1448695596">
      <w:bodyDiv w:val="1"/>
      <w:marLeft w:val="0"/>
      <w:marRight w:val="0"/>
      <w:marTop w:val="0"/>
      <w:marBottom w:val="0"/>
      <w:divBdr>
        <w:top w:val="none" w:sz="0" w:space="0" w:color="auto"/>
        <w:left w:val="none" w:sz="0" w:space="0" w:color="auto"/>
        <w:bottom w:val="none" w:sz="0" w:space="0" w:color="auto"/>
        <w:right w:val="none" w:sz="0" w:space="0" w:color="auto"/>
      </w:divBdr>
    </w:div>
    <w:div w:id="1453288220">
      <w:bodyDiv w:val="1"/>
      <w:marLeft w:val="0"/>
      <w:marRight w:val="0"/>
      <w:marTop w:val="0"/>
      <w:marBottom w:val="0"/>
      <w:divBdr>
        <w:top w:val="none" w:sz="0" w:space="0" w:color="auto"/>
        <w:left w:val="none" w:sz="0" w:space="0" w:color="auto"/>
        <w:bottom w:val="none" w:sz="0" w:space="0" w:color="auto"/>
        <w:right w:val="none" w:sz="0" w:space="0" w:color="auto"/>
      </w:divBdr>
    </w:div>
    <w:div w:id="1454976989">
      <w:bodyDiv w:val="1"/>
      <w:marLeft w:val="0"/>
      <w:marRight w:val="0"/>
      <w:marTop w:val="0"/>
      <w:marBottom w:val="0"/>
      <w:divBdr>
        <w:top w:val="none" w:sz="0" w:space="0" w:color="auto"/>
        <w:left w:val="none" w:sz="0" w:space="0" w:color="auto"/>
        <w:bottom w:val="none" w:sz="0" w:space="0" w:color="auto"/>
        <w:right w:val="none" w:sz="0" w:space="0" w:color="auto"/>
      </w:divBdr>
    </w:div>
    <w:div w:id="1455520706">
      <w:bodyDiv w:val="1"/>
      <w:marLeft w:val="0"/>
      <w:marRight w:val="0"/>
      <w:marTop w:val="0"/>
      <w:marBottom w:val="0"/>
      <w:divBdr>
        <w:top w:val="none" w:sz="0" w:space="0" w:color="auto"/>
        <w:left w:val="none" w:sz="0" w:space="0" w:color="auto"/>
        <w:bottom w:val="none" w:sz="0" w:space="0" w:color="auto"/>
        <w:right w:val="none" w:sz="0" w:space="0" w:color="auto"/>
      </w:divBdr>
    </w:div>
    <w:div w:id="1461142674">
      <w:bodyDiv w:val="1"/>
      <w:marLeft w:val="0"/>
      <w:marRight w:val="0"/>
      <w:marTop w:val="0"/>
      <w:marBottom w:val="0"/>
      <w:divBdr>
        <w:top w:val="none" w:sz="0" w:space="0" w:color="auto"/>
        <w:left w:val="none" w:sz="0" w:space="0" w:color="auto"/>
        <w:bottom w:val="none" w:sz="0" w:space="0" w:color="auto"/>
        <w:right w:val="none" w:sz="0" w:space="0" w:color="auto"/>
      </w:divBdr>
    </w:div>
    <w:div w:id="1463961083">
      <w:bodyDiv w:val="1"/>
      <w:marLeft w:val="0"/>
      <w:marRight w:val="0"/>
      <w:marTop w:val="0"/>
      <w:marBottom w:val="0"/>
      <w:divBdr>
        <w:top w:val="none" w:sz="0" w:space="0" w:color="auto"/>
        <w:left w:val="none" w:sz="0" w:space="0" w:color="auto"/>
        <w:bottom w:val="none" w:sz="0" w:space="0" w:color="auto"/>
        <w:right w:val="none" w:sz="0" w:space="0" w:color="auto"/>
      </w:divBdr>
    </w:div>
    <w:div w:id="1466241444">
      <w:bodyDiv w:val="1"/>
      <w:marLeft w:val="0"/>
      <w:marRight w:val="0"/>
      <w:marTop w:val="0"/>
      <w:marBottom w:val="0"/>
      <w:divBdr>
        <w:top w:val="none" w:sz="0" w:space="0" w:color="auto"/>
        <w:left w:val="none" w:sz="0" w:space="0" w:color="auto"/>
        <w:bottom w:val="none" w:sz="0" w:space="0" w:color="auto"/>
        <w:right w:val="none" w:sz="0" w:space="0" w:color="auto"/>
      </w:divBdr>
    </w:div>
    <w:div w:id="1468887924">
      <w:bodyDiv w:val="1"/>
      <w:marLeft w:val="0"/>
      <w:marRight w:val="0"/>
      <w:marTop w:val="0"/>
      <w:marBottom w:val="0"/>
      <w:divBdr>
        <w:top w:val="none" w:sz="0" w:space="0" w:color="auto"/>
        <w:left w:val="none" w:sz="0" w:space="0" w:color="auto"/>
        <w:bottom w:val="none" w:sz="0" w:space="0" w:color="auto"/>
        <w:right w:val="none" w:sz="0" w:space="0" w:color="auto"/>
      </w:divBdr>
    </w:div>
    <w:div w:id="1468939571">
      <w:bodyDiv w:val="1"/>
      <w:marLeft w:val="0"/>
      <w:marRight w:val="0"/>
      <w:marTop w:val="0"/>
      <w:marBottom w:val="0"/>
      <w:divBdr>
        <w:top w:val="none" w:sz="0" w:space="0" w:color="auto"/>
        <w:left w:val="none" w:sz="0" w:space="0" w:color="auto"/>
        <w:bottom w:val="none" w:sz="0" w:space="0" w:color="auto"/>
        <w:right w:val="none" w:sz="0" w:space="0" w:color="auto"/>
      </w:divBdr>
    </w:div>
    <w:div w:id="1472595051">
      <w:bodyDiv w:val="1"/>
      <w:marLeft w:val="0"/>
      <w:marRight w:val="0"/>
      <w:marTop w:val="0"/>
      <w:marBottom w:val="0"/>
      <w:divBdr>
        <w:top w:val="none" w:sz="0" w:space="0" w:color="auto"/>
        <w:left w:val="none" w:sz="0" w:space="0" w:color="auto"/>
        <w:bottom w:val="none" w:sz="0" w:space="0" w:color="auto"/>
        <w:right w:val="none" w:sz="0" w:space="0" w:color="auto"/>
      </w:divBdr>
    </w:div>
    <w:div w:id="1482040273">
      <w:bodyDiv w:val="1"/>
      <w:marLeft w:val="0"/>
      <w:marRight w:val="0"/>
      <w:marTop w:val="0"/>
      <w:marBottom w:val="0"/>
      <w:divBdr>
        <w:top w:val="none" w:sz="0" w:space="0" w:color="auto"/>
        <w:left w:val="none" w:sz="0" w:space="0" w:color="auto"/>
        <w:bottom w:val="none" w:sz="0" w:space="0" w:color="auto"/>
        <w:right w:val="none" w:sz="0" w:space="0" w:color="auto"/>
      </w:divBdr>
    </w:div>
    <w:div w:id="1482579201">
      <w:bodyDiv w:val="1"/>
      <w:marLeft w:val="0"/>
      <w:marRight w:val="0"/>
      <w:marTop w:val="0"/>
      <w:marBottom w:val="0"/>
      <w:divBdr>
        <w:top w:val="none" w:sz="0" w:space="0" w:color="auto"/>
        <w:left w:val="none" w:sz="0" w:space="0" w:color="auto"/>
        <w:bottom w:val="none" w:sz="0" w:space="0" w:color="auto"/>
        <w:right w:val="none" w:sz="0" w:space="0" w:color="auto"/>
      </w:divBdr>
    </w:div>
    <w:div w:id="1486629822">
      <w:bodyDiv w:val="1"/>
      <w:marLeft w:val="0"/>
      <w:marRight w:val="0"/>
      <w:marTop w:val="0"/>
      <w:marBottom w:val="0"/>
      <w:divBdr>
        <w:top w:val="none" w:sz="0" w:space="0" w:color="auto"/>
        <w:left w:val="none" w:sz="0" w:space="0" w:color="auto"/>
        <w:bottom w:val="none" w:sz="0" w:space="0" w:color="auto"/>
        <w:right w:val="none" w:sz="0" w:space="0" w:color="auto"/>
      </w:divBdr>
    </w:div>
    <w:div w:id="1496723354">
      <w:bodyDiv w:val="1"/>
      <w:marLeft w:val="0"/>
      <w:marRight w:val="0"/>
      <w:marTop w:val="0"/>
      <w:marBottom w:val="0"/>
      <w:divBdr>
        <w:top w:val="none" w:sz="0" w:space="0" w:color="auto"/>
        <w:left w:val="none" w:sz="0" w:space="0" w:color="auto"/>
        <w:bottom w:val="none" w:sz="0" w:space="0" w:color="auto"/>
        <w:right w:val="none" w:sz="0" w:space="0" w:color="auto"/>
      </w:divBdr>
    </w:div>
    <w:div w:id="1497064859">
      <w:bodyDiv w:val="1"/>
      <w:marLeft w:val="0"/>
      <w:marRight w:val="0"/>
      <w:marTop w:val="0"/>
      <w:marBottom w:val="0"/>
      <w:divBdr>
        <w:top w:val="none" w:sz="0" w:space="0" w:color="auto"/>
        <w:left w:val="none" w:sz="0" w:space="0" w:color="auto"/>
        <w:bottom w:val="none" w:sz="0" w:space="0" w:color="auto"/>
        <w:right w:val="none" w:sz="0" w:space="0" w:color="auto"/>
      </w:divBdr>
    </w:div>
    <w:div w:id="1502164498">
      <w:bodyDiv w:val="1"/>
      <w:marLeft w:val="0"/>
      <w:marRight w:val="0"/>
      <w:marTop w:val="0"/>
      <w:marBottom w:val="0"/>
      <w:divBdr>
        <w:top w:val="none" w:sz="0" w:space="0" w:color="auto"/>
        <w:left w:val="none" w:sz="0" w:space="0" w:color="auto"/>
        <w:bottom w:val="none" w:sz="0" w:space="0" w:color="auto"/>
        <w:right w:val="none" w:sz="0" w:space="0" w:color="auto"/>
      </w:divBdr>
    </w:div>
    <w:div w:id="1506021216">
      <w:bodyDiv w:val="1"/>
      <w:marLeft w:val="0"/>
      <w:marRight w:val="0"/>
      <w:marTop w:val="0"/>
      <w:marBottom w:val="0"/>
      <w:divBdr>
        <w:top w:val="none" w:sz="0" w:space="0" w:color="auto"/>
        <w:left w:val="none" w:sz="0" w:space="0" w:color="auto"/>
        <w:bottom w:val="none" w:sz="0" w:space="0" w:color="auto"/>
        <w:right w:val="none" w:sz="0" w:space="0" w:color="auto"/>
      </w:divBdr>
    </w:div>
    <w:div w:id="1506090795">
      <w:bodyDiv w:val="1"/>
      <w:marLeft w:val="0"/>
      <w:marRight w:val="0"/>
      <w:marTop w:val="0"/>
      <w:marBottom w:val="0"/>
      <w:divBdr>
        <w:top w:val="none" w:sz="0" w:space="0" w:color="auto"/>
        <w:left w:val="none" w:sz="0" w:space="0" w:color="auto"/>
        <w:bottom w:val="none" w:sz="0" w:space="0" w:color="auto"/>
        <w:right w:val="none" w:sz="0" w:space="0" w:color="auto"/>
      </w:divBdr>
    </w:div>
    <w:div w:id="1508325757">
      <w:bodyDiv w:val="1"/>
      <w:marLeft w:val="0"/>
      <w:marRight w:val="0"/>
      <w:marTop w:val="0"/>
      <w:marBottom w:val="0"/>
      <w:divBdr>
        <w:top w:val="none" w:sz="0" w:space="0" w:color="auto"/>
        <w:left w:val="none" w:sz="0" w:space="0" w:color="auto"/>
        <w:bottom w:val="none" w:sz="0" w:space="0" w:color="auto"/>
        <w:right w:val="none" w:sz="0" w:space="0" w:color="auto"/>
      </w:divBdr>
    </w:div>
    <w:div w:id="1509053659">
      <w:bodyDiv w:val="1"/>
      <w:marLeft w:val="0"/>
      <w:marRight w:val="0"/>
      <w:marTop w:val="0"/>
      <w:marBottom w:val="0"/>
      <w:divBdr>
        <w:top w:val="none" w:sz="0" w:space="0" w:color="auto"/>
        <w:left w:val="none" w:sz="0" w:space="0" w:color="auto"/>
        <w:bottom w:val="none" w:sz="0" w:space="0" w:color="auto"/>
        <w:right w:val="none" w:sz="0" w:space="0" w:color="auto"/>
      </w:divBdr>
    </w:div>
    <w:div w:id="1513489454">
      <w:bodyDiv w:val="1"/>
      <w:marLeft w:val="0"/>
      <w:marRight w:val="0"/>
      <w:marTop w:val="0"/>
      <w:marBottom w:val="0"/>
      <w:divBdr>
        <w:top w:val="none" w:sz="0" w:space="0" w:color="auto"/>
        <w:left w:val="none" w:sz="0" w:space="0" w:color="auto"/>
        <w:bottom w:val="none" w:sz="0" w:space="0" w:color="auto"/>
        <w:right w:val="none" w:sz="0" w:space="0" w:color="auto"/>
      </w:divBdr>
    </w:div>
    <w:div w:id="1521359914">
      <w:bodyDiv w:val="1"/>
      <w:marLeft w:val="0"/>
      <w:marRight w:val="0"/>
      <w:marTop w:val="0"/>
      <w:marBottom w:val="0"/>
      <w:divBdr>
        <w:top w:val="none" w:sz="0" w:space="0" w:color="auto"/>
        <w:left w:val="none" w:sz="0" w:space="0" w:color="auto"/>
        <w:bottom w:val="none" w:sz="0" w:space="0" w:color="auto"/>
        <w:right w:val="none" w:sz="0" w:space="0" w:color="auto"/>
      </w:divBdr>
    </w:div>
    <w:div w:id="1526795178">
      <w:bodyDiv w:val="1"/>
      <w:marLeft w:val="0"/>
      <w:marRight w:val="0"/>
      <w:marTop w:val="0"/>
      <w:marBottom w:val="0"/>
      <w:divBdr>
        <w:top w:val="none" w:sz="0" w:space="0" w:color="auto"/>
        <w:left w:val="none" w:sz="0" w:space="0" w:color="auto"/>
        <w:bottom w:val="none" w:sz="0" w:space="0" w:color="auto"/>
        <w:right w:val="none" w:sz="0" w:space="0" w:color="auto"/>
      </w:divBdr>
    </w:div>
    <w:div w:id="1527645206">
      <w:bodyDiv w:val="1"/>
      <w:marLeft w:val="0"/>
      <w:marRight w:val="0"/>
      <w:marTop w:val="0"/>
      <w:marBottom w:val="0"/>
      <w:divBdr>
        <w:top w:val="none" w:sz="0" w:space="0" w:color="auto"/>
        <w:left w:val="none" w:sz="0" w:space="0" w:color="auto"/>
        <w:bottom w:val="none" w:sz="0" w:space="0" w:color="auto"/>
        <w:right w:val="none" w:sz="0" w:space="0" w:color="auto"/>
      </w:divBdr>
    </w:div>
    <w:div w:id="1530100650">
      <w:bodyDiv w:val="1"/>
      <w:marLeft w:val="0"/>
      <w:marRight w:val="0"/>
      <w:marTop w:val="0"/>
      <w:marBottom w:val="0"/>
      <w:divBdr>
        <w:top w:val="none" w:sz="0" w:space="0" w:color="auto"/>
        <w:left w:val="none" w:sz="0" w:space="0" w:color="auto"/>
        <w:bottom w:val="none" w:sz="0" w:space="0" w:color="auto"/>
        <w:right w:val="none" w:sz="0" w:space="0" w:color="auto"/>
      </w:divBdr>
    </w:div>
    <w:div w:id="1530602572">
      <w:bodyDiv w:val="1"/>
      <w:marLeft w:val="0"/>
      <w:marRight w:val="0"/>
      <w:marTop w:val="0"/>
      <w:marBottom w:val="0"/>
      <w:divBdr>
        <w:top w:val="none" w:sz="0" w:space="0" w:color="auto"/>
        <w:left w:val="none" w:sz="0" w:space="0" w:color="auto"/>
        <w:bottom w:val="none" w:sz="0" w:space="0" w:color="auto"/>
        <w:right w:val="none" w:sz="0" w:space="0" w:color="auto"/>
      </w:divBdr>
    </w:div>
    <w:div w:id="1530676775">
      <w:bodyDiv w:val="1"/>
      <w:marLeft w:val="0"/>
      <w:marRight w:val="0"/>
      <w:marTop w:val="0"/>
      <w:marBottom w:val="0"/>
      <w:divBdr>
        <w:top w:val="none" w:sz="0" w:space="0" w:color="auto"/>
        <w:left w:val="none" w:sz="0" w:space="0" w:color="auto"/>
        <w:bottom w:val="none" w:sz="0" w:space="0" w:color="auto"/>
        <w:right w:val="none" w:sz="0" w:space="0" w:color="auto"/>
      </w:divBdr>
    </w:div>
    <w:div w:id="1533882073">
      <w:bodyDiv w:val="1"/>
      <w:marLeft w:val="0"/>
      <w:marRight w:val="0"/>
      <w:marTop w:val="0"/>
      <w:marBottom w:val="0"/>
      <w:divBdr>
        <w:top w:val="none" w:sz="0" w:space="0" w:color="auto"/>
        <w:left w:val="none" w:sz="0" w:space="0" w:color="auto"/>
        <w:bottom w:val="none" w:sz="0" w:space="0" w:color="auto"/>
        <w:right w:val="none" w:sz="0" w:space="0" w:color="auto"/>
      </w:divBdr>
    </w:div>
    <w:div w:id="1538657988">
      <w:bodyDiv w:val="1"/>
      <w:marLeft w:val="0"/>
      <w:marRight w:val="0"/>
      <w:marTop w:val="0"/>
      <w:marBottom w:val="0"/>
      <w:divBdr>
        <w:top w:val="none" w:sz="0" w:space="0" w:color="auto"/>
        <w:left w:val="none" w:sz="0" w:space="0" w:color="auto"/>
        <w:bottom w:val="none" w:sz="0" w:space="0" w:color="auto"/>
        <w:right w:val="none" w:sz="0" w:space="0" w:color="auto"/>
      </w:divBdr>
    </w:div>
    <w:div w:id="1542866134">
      <w:bodyDiv w:val="1"/>
      <w:marLeft w:val="0"/>
      <w:marRight w:val="0"/>
      <w:marTop w:val="0"/>
      <w:marBottom w:val="0"/>
      <w:divBdr>
        <w:top w:val="none" w:sz="0" w:space="0" w:color="auto"/>
        <w:left w:val="none" w:sz="0" w:space="0" w:color="auto"/>
        <w:bottom w:val="none" w:sz="0" w:space="0" w:color="auto"/>
        <w:right w:val="none" w:sz="0" w:space="0" w:color="auto"/>
      </w:divBdr>
    </w:div>
    <w:div w:id="1544555759">
      <w:bodyDiv w:val="1"/>
      <w:marLeft w:val="0"/>
      <w:marRight w:val="0"/>
      <w:marTop w:val="0"/>
      <w:marBottom w:val="0"/>
      <w:divBdr>
        <w:top w:val="none" w:sz="0" w:space="0" w:color="auto"/>
        <w:left w:val="none" w:sz="0" w:space="0" w:color="auto"/>
        <w:bottom w:val="none" w:sz="0" w:space="0" w:color="auto"/>
        <w:right w:val="none" w:sz="0" w:space="0" w:color="auto"/>
      </w:divBdr>
    </w:div>
    <w:div w:id="1544750102">
      <w:bodyDiv w:val="1"/>
      <w:marLeft w:val="0"/>
      <w:marRight w:val="0"/>
      <w:marTop w:val="0"/>
      <w:marBottom w:val="0"/>
      <w:divBdr>
        <w:top w:val="none" w:sz="0" w:space="0" w:color="auto"/>
        <w:left w:val="none" w:sz="0" w:space="0" w:color="auto"/>
        <w:bottom w:val="none" w:sz="0" w:space="0" w:color="auto"/>
        <w:right w:val="none" w:sz="0" w:space="0" w:color="auto"/>
      </w:divBdr>
    </w:div>
    <w:div w:id="1545554102">
      <w:bodyDiv w:val="1"/>
      <w:marLeft w:val="0"/>
      <w:marRight w:val="0"/>
      <w:marTop w:val="0"/>
      <w:marBottom w:val="0"/>
      <w:divBdr>
        <w:top w:val="none" w:sz="0" w:space="0" w:color="auto"/>
        <w:left w:val="none" w:sz="0" w:space="0" w:color="auto"/>
        <w:bottom w:val="none" w:sz="0" w:space="0" w:color="auto"/>
        <w:right w:val="none" w:sz="0" w:space="0" w:color="auto"/>
      </w:divBdr>
    </w:div>
    <w:div w:id="1551333852">
      <w:bodyDiv w:val="1"/>
      <w:marLeft w:val="0"/>
      <w:marRight w:val="0"/>
      <w:marTop w:val="0"/>
      <w:marBottom w:val="0"/>
      <w:divBdr>
        <w:top w:val="none" w:sz="0" w:space="0" w:color="auto"/>
        <w:left w:val="none" w:sz="0" w:space="0" w:color="auto"/>
        <w:bottom w:val="none" w:sz="0" w:space="0" w:color="auto"/>
        <w:right w:val="none" w:sz="0" w:space="0" w:color="auto"/>
      </w:divBdr>
    </w:div>
    <w:div w:id="1556046669">
      <w:bodyDiv w:val="1"/>
      <w:marLeft w:val="0"/>
      <w:marRight w:val="0"/>
      <w:marTop w:val="0"/>
      <w:marBottom w:val="0"/>
      <w:divBdr>
        <w:top w:val="none" w:sz="0" w:space="0" w:color="auto"/>
        <w:left w:val="none" w:sz="0" w:space="0" w:color="auto"/>
        <w:bottom w:val="none" w:sz="0" w:space="0" w:color="auto"/>
        <w:right w:val="none" w:sz="0" w:space="0" w:color="auto"/>
      </w:divBdr>
    </w:div>
    <w:div w:id="1560550008">
      <w:bodyDiv w:val="1"/>
      <w:marLeft w:val="0"/>
      <w:marRight w:val="0"/>
      <w:marTop w:val="0"/>
      <w:marBottom w:val="0"/>
      <w:divBdr>
        <w:top w:val="none" w:sz="0" w:space="0" w:color="auto"/>
        <w:left w:val="none" w:sz="0" w:space="0" w:color="auto"/>
        <w:bottom w:val="none" w:sz="0" w:space="0" w:color="auto"/>
        <w:right w:val="none" w:sz="0" w:space="0" w:color="auto"/>
      </w:divBdr>
    </w:div>
    <w:div w:id="1564173161">
      <w:bodyDiv w:val="1"/>
      <w:marLeft w:val="0"/>
      <w:marRight w:val="0"/>
      <w:marTop w:val="0"/>
      <w:marBottom w:val="0"/>
      <w:divBdr>
        <w:top w:val="none" w:sz="0" w:space="0" w:color="auto"/>
        <w:left w:val="none" w:sz="0" w:space="0" w:color="auto"/>
        <w:bottom w:val="none" w:sz="0" w:space="0" w:color="auto"/>
        <w:right w:val="none" w:sz="0" w:space="0" w:color="auto"/>
      </w:divBdr>
    </w:div>
    <w:div w:id="1564828436">
      <w:bodyDiv w:val="1"/>
      <w:marLeft w:val="0"/>
      <w:marRight w:val="0"/>
      <w:marTop w:val="0"/>
      <w:marBottom w:val="0"/>
      <w:divBdr>
        <w:top w:val="none" w:sz="0" w:space="0" w:color="auto"/>
        <w:left w:val="none" w:sz="0" w:space="0" w:color="auto"/>
        <w:bottom w:val="none" w:sz="0" w:space="0" w:color="auto"/>
        <w:right w:val="none" w:sz="0" w:space="0" w:color="auto"/>
      </w:divBdr>
    </w:div>
    <w:div w:id="1567452415">
      <w:bodyDiv w:val="1"/>
      <w:marLeft w:val="0"/>
      <w:marRight w:val="0"/>
      <w:marTop w:val="0"/>
      <w:marBottom w:val="0"/>
      <w:divBdr>
        <w:top w:val="none" w:sz="0" w:space="0" w:color="auto"/>
        <w:left w:val="none" w:sz="0" w:space="0" w:color="auto"/>
        <w:bottom w:val="none" w:sz="0" w:space="0" w:color="auto"/>
        <w:right w:val="none" w:sz="0" w:space="0" w:color="auto"/>
      </w:divBdr>
    </w:div>
    <w:div w:id="1570920171">
      <w:bodyDiv w:val="1"/>
      <w:marLeft w:val="0"/>
      <w:marRight w:val="0"/>
      <w:marTop w:val="0"/>
      <w:marBottom w:val="0"/>
      <w:divBdr>
        <w:top w:val="none" w:sz="0" w:space="0" w:color="auto"/>
        <w:left w:val="none" w:sz="0" w:space="0" w:color="auto"/>
        <w:bottom w:val="none" w:sz="0" w:space="0" w:color="auto"/>
        <w:right w:val="none" w:sz="0" w:space="0" w:color="auto"/>
      </w:divBdr>
    </w:div>
    <w:div w:id="1575314797">
      <w:bodyDiv w:val="1"/>
      <w:marLeft w:val="0"/>
      <w:marRight w:val="0"/>
      <w:marTop w:val="0"/>
      <w:marBottom w:val="0"/>
      <w:divBdr>
        <w:top w:val="none" w:sz="0" w:space="0" w:color="auto"/>
        <w:left w:val="none" w:sz="0" w:space="0" w:color="auto"/>
        <w:bottom w:val="none" w:sz="0" w:space="0" w:color="auto"/>
        <w:right w:val="none" w:sz="0" w:space="0" w:color="auto"/>
      </w:divBdr>
    </w:div>
    <w:div w:id="1576743759">
      <w:bodyDiv w:val="1"/>
      <w:marLeft w:val="0"/>
      <w:marRight w:val="0"/>
      <w:marTop w:val="0"/>
      <w:marBottom w:val="0"/>
      <w:divBdr>
        <w:top w:val="none" w:sz="0" w:space="0" w:color="auto"/>
        <w:left w:val="none" w:sz="0" w:space="0" w:color="auto"/>
        <w:bottom w:val="none" w:sz="0" w:space="0" w:color="auto"/>
        <w:right w:val="none" w:sz="0" w:space="0" w:color="auto"/>
      </w:divBdr>
    </w:div>
    <w:div w:id="1584223468">
      <w:bodyDiv w:val="1"/>
      <w:marLeft w:val="0"/>
      <w:marRight w:val="0"/>
      <w:marTop w:val="0"/>
      <w:marBottom w:val="0"/>
      <w:divBdr>
        <w:top w:val="none" w:sz="0" w:space="0" w:color="auto"/>
        <w:left w:val="none" w:sz="0" w:space="0" w:color="auto"/>
        <w:bottom w:val="none" w:sz="0" w:space="0" w:color="auto"/>
        <w:right w:val="none" w:sz="0" w:space="0" w:color="auto"/>
      </w:divBdr>
    </w:div>
    <w:div w:id="1584485855">
      <w:bodyDiv w:val="1"/>
      <w:marLeft w:val="0"/>
      <w:marRight w:val="0"/>
      <w:marTop w:val="0"/>
      <w:marBottom w:val="0"/>
      <w:divBdr>
        <w:top w:val="none" w:sz="0" w:space="0" w:color="auto"/>
        <w:left w:val="none" w:sz="0" w:space="0" w:color="auto"/>
        <w:bottom w:val="none" w:sz="0" w:space="0" w:color="auto"/>
        <w:right w:val="none" w:sz="0" w:space="0" w:color="auto"/>
      </w:divBdr>
    </w:div>
    <w:div w:id="1589578523">
      <w:bodyDiv w:val="1"/>
      <w:marLeft w:val="0"/>
      <w:marRight w:val="0"/>
      <w:marTop w:val="0"/>
      <w:marBottom w:val="0"/>
      <w:divBdr>
        <w:top w:val="none" w:sz="0" w:space="0" w:color="auto"/>
        <w:left w:val="none" w:sz="0" w:space="0" w:color="auto"/>
        <w:bottom w:val="none" w:sz="0" w:space="0" w:color="auto"/>
        <w:right w:val="none" w:sz="0" w:space="0" w:color="auto"/>
      </w:divBdr>
    </w:div>
    <w:div w:id="1594506804">
      <w:bodyDiv w:val="1"/>
      <w:marLeft w:val="0"/>
      <w:marRight w:val="0"/>
      <w:marTop w:val="0"/>
      <w:marBottom w:val="0"/>
      <w:divBdr>
        <w:top w:val="none" w:sz="0" w:space="0" w:color="auto"/>
        <w:left w:val="none" w:sz="0" w:space="0" w:color="auto"/>
        <w:bottom w:val="none" w:sz="0" w:space="0" w:color="auto"/>
        <w:right w:val="none" w:sz="0" w:space="0" w:color="auto"/>
      </w:divBdr>
    </w:div>
    <w:div w:id="1599168030">
      <w:bodyDiv w:val="1"/>
      <w:marLeft w:val="0"/>
      <w:marRight w:val="0"/>
      <w:marTop w:val="0"/>
      <w:marBottom w:val="0"/>
      <w:divBdr>
        <w:top w:val="none" w:sz="0" w:space="0" w:color="auto"/>
        <w:left w:val="none" w:sz="0" w:space="0" w:color="auto"/>
        <w:bottom w:val="none" w:sz="0" w:space="0" w:color="auto"/>
        <w:right w:val="none" w:sz="0" w:space="0" w:color="auto"/>
      </w:divBdr>
    </w:div>
    <w:div w:id="1600718345">
      <w:bodyDiv w:val="1"/>
      <w:marLeft w:val="0"/>
      <w:marRight w:val="0"/>
      <w:marTop w:val="0"/>
      <w:marBottom w:val="0"/>
      <w:divBdr>
        <w:top w:val="none" w:sz="0" w:space="0" w:color="auto"/>
        <w:left w:val="none" w:sz="0" w:space="0" w:color="auto"/>
        <w:bottom w:val="none" w:sz="0" w:space="0" w:color="auto"/>
        <w:right w:val="none" w:sz="0" w:space="0" w:color="auto"/>
      </w:divBdr>
    </w:div>
    <w:div w:id="1601329580">
      <w:bodyDiv w:val="1"/>
      <w:marLeft w:val="0"/>
      <w:marRight w:val="0"/>
      <w:marTop w:val="0"/>
      <w:marBottom w:val="0"/>
      <w:divBdr>
        <w:top w:val="none" w:sz="0" w:space="0" w:color="auto"/>
        <w:left w:val="none" w:sz="0" w:space="0" w:color="auto"/>
        <w:bottom w:val="none" w:sz="0" w:space="0" w:color="auto"/>
        <w:right w:val="none" w:sz="0" w:space="0" w:color="auto"/>
      </w:divBdr>
    </w:div>
    <w:div w:id="1602372865">
      <w:bodyDiv w:val="1"/>
      <w:marLeft w:val="0"/>
      <w:marRight w:val="0"/>
      <w:marTop w:val="0"/>
      <w:marBottom w:val="0"/>
      <w:divBdr>
        <w:top w:val="none" w:sz="0" w:space="0" w:color="auto"/>
        <w:left w:val="none" w:sz="0" w:space="0" w:color="auto"/>
        <w:bottom w:val="none" w:sz="0" w:space="0" w:color="auto"/>
        <w:right w:val="none" w:sz="0" w:space="0" w:color="auto"/>
      </w:divBdr>
    </w:div>
    <w:div w:id="1606887850">
      <w:bodyDiv w:val="1"/>
      <w:marLeft w:val="0"/>
      <w:marRight w:val="0"/>
      <w:marTop w:val="0"/>
      <w:marBottom w:val="0"/>
      <w:divBdr>
        <w:top w:val="none" w:sz="0" w:space="0" w:color="auto"/>
        <w:left w:val="none" w:sz="0" w:space="0" w:color="auto"/>
        <w:bottom w:val="none" w:sz="0" w:space="0" w:color="auto"/>
        <w:right w:val="none" w:sz="0" w:space="0" w:color="auto"/>
      </w:divBdr>
    </w:div>
    <w:div w:id="1607930659">
      <w:bodyDiv w:val="1"/>
      <w:marLeft w:val="0"/>
      <w:marRight w:val="0"/>
      <w:marTop w:val="0"/>
      <w:marBottom w:val="0"/>
      <w:divBdr>
        <w:top w:val="none" w:sz="0" w:space="0" w:color="auto"/>
        <w:left w:val="none" w:sz="0" w:space="0" w:color="auto"/>
        <w:bottom w:val="none" w:sz="0" w:space="0" w:color="auto"/>
        <w:right w:val="none" w:sz="0" w:space="0" w:color="auto"/>
      </w:divBdr>
    </w:div>
    <w:div w:id="1608191089">
      <w:bodyDiv w:val="1"/>
      <w:marLeft w:val="0"/>
      <w:marRight w:val="0"/>
      <w:marTop w:val="0"/>
      <w:marBottom w:val="0"/>
      <w:divBdr>
        <w:top w:val="none" w:sz="0" w:space="0" w:color="auto"/>
        <w:left w:val="none" w:sz="0" w:space="0" w:color="auto"/>
        <w:bottom w:val="none" w:sz="0" w:space="0" w:color="auto"/>
        <w:right w:val="none" w:sz="0" w:space="0" w:color="auto"/>
      </w:divBdr>
    </w:div>
    <w:div w:id="1610236842">
      <w:bodyDiv w:val="1"/>
      <w:marLeft w:val="0"/>
      <w:marRight w:val="0"/>
      <w:marTop w:val="0"/>
      <w:marBottom w:val="0"/>
      <w:divBdr>
        <w:top w:val="none" w:sz="0" w:space="0" w:color="auto"/>
        <w:left w:val="none" w:sz="0" w:space="0" w:color="auto"/>
        <w:bottom w:val="none" w:sz="0" w:space="0" w:color="auto"/>
        <w:right w:val="none" w:sz="0" w:space="0" w:color="auto"/>
      </w:divBdr>
    </w:div>
    <w:div w:id="1622300989">
      <w:bodyDiv w:val="1"/>
      <w:marLeft w:val="0"/>
      <w:marRight w:val="0"/>
      <w:marTop w:val="0"/>
      <w:marBottom w:val="0"/>
      <w:divBdr>
        <w:top w:val="none" w:sz="0" w:space="0" w:color="auto"/>
        <w:left w:val="none" w:sz="0" w:space="0" w:color="auto"/>
        <w:bottom w:val="none" w:sz="0" w:space="0" w:color="auto"/>
        <w:right w:val="none" w:sz="0" w:space="0" w:color="auto"/>
      </w:divBdr>
    </w:div>
    <w:div w:id="1626302837">
      <w:bodyDiv w:val="1"/>
      <w:marLeft w:val="0"/>
      <w:marRight w:val="0"/>
      <w:marTop w:val="0"/>
      <w:marBottom w:val="0"/>
      <w:divBdr>
        <w:top w:val="none" w:sz="0" w:space="0" w:color="auto"/>
        <w:left w:val="none" w:sz="0" w:space="0" w:color="auto"/>
        <w:bottom w:val="none" w:sz="0" w:space="0" w:color="auto"/>
        <w:right w:val="none" w:sz="0" w:space="0" w:color="auto"/>
      </w:divBdr>
    </w:div>
    <w:div w:id="1627083663">
      <w:bodyDiv w:val="1"/>
      <w:marLeft w:val="0"/>
      <w:marRight w:val="0"/>
      <w:marTop w:val="0"/>
      <w:marBottom w:val="0"/>
      <w:divBdr>
        <w:top w:val="none" w:sz="0" w:space="0" w:color="auto"/>
        <w:left w:val="none" w:sz="0" w:space="0" w:color="auto"/>
        <w:bottom w:val="none" w:sz="0" w:space="0" w:color="auto"/>
        <w:right w:val="none" w:sz="0" w:space="0" w:color="auto"/>
      </w:divBdr>
    </w:div>
    <w:div w:id="1631940233">
      <w:bodyDiv w:val="1"/>
      <w:marLeft w:val="0"/>
      <w:marRight w:val="0"/>
      <w:marTop w:val="0"/>
      <w:marBottom w:val="0"/>
      <w:divBdr>
        <w:top w:val="none" w:sz="0" w:space="0" w:color="auto"/>
        <w:left w:val="none" w:sz="0" w:space="0" w:color="auto"/>
        <w:bottom w:val="none" w:sz="0" w:space="0" w:color="auto"/>
        <w:right w:val="none" w:sz="0" w:space="0" w:color="auto"/>
      </w:divBdr>
    </w:div>
    <w:div w:id="1634292404">
      <w:bodyDiv w:val="1"/>
      <w:marLeft w:val="0"/>
      <w:marRight w:val="0"/>
      <w:marTop w:val="0"/>
      <w:marBottom w:val="0"/>
      <w:divBdr>
        <w:top w:val="none" w:sz="0" w:space="0" w:color="auto"/>
        <w:left w:val="none" w:sz="0" w:space="0" w:color="auto"/>
        <w:bottom w:val="none" w:sz="0" w:space="0" w:color="auto"/>
        <w:right w:val="none" w:sz="0" w:space="0" w:color="auto"/>
      </w:divBdr>
    </w:div>
    <w:div w:id="1635938768">
      <w:bodyDiv w:val="1"/>
      <w:marLeft w:val="0"/>
      <w:marRight w:val="0"/>
      <w:marTop w:val="0"/>
      <w:marBottom w:val="0"/>
      <w:divBdr>
        <w:top w:val="none" w:sz="0" w:space="0" w:color="auto"/>
        <w:left w:val="none" w:sz="0" w:space="0" w:color="auto"/>
        <w:bottom w:val="none" w:sz="0" w:space="0" w:color="auto"/>
        <w:right w:val="none" w:sz="0" w:space="0" w:color="auto"/>
      </w:divBdr>
    </w:div>
    <w:div w:id="1636836634">
      <w:bodyDiv w:val="1"/>
      <w:marLeft w:val="0"/>
      <w:marRight w:val="0"/>
      <w:marTop w:val="0"/>
      <w:marBottom w:val="0"/>
      <w:divBdr>
        <w:top w:val="none" w:sz="0" w:space="0" w:color="auto"/>
        <w:left w:val="none" w:sz="0" w:space="0" w:color="auto"/>
        <w:bottom w:val="none" w:sz="0" w:space="0" w:color="auto"/>
        <w:right w:val="none" w:sz="0" w:space="0" w:color="auto"/>
      </w:divBdr>
    </w:div>
    <w:div w:id="1637757823">
      <w:bodyDiv w:val="1"/>
      <w:marLeft w:val="0"/>
      <w:marRight w:val="0"/>
      <w:marTop w:val="0"/>
      <w:marBottom w:val="0"/>
      <w:divBdr>
        <w:top w:val="none" w:sz="0" w:space="0" w:color="auto"/>
        <w:left w:val="none" w:sz="0" w:space="0" w:color="auto"/>
        <w:bottom w:val="none" w:sz="0" w:space="0" w:color="auto"/>
        <w:right w:val="none" w:sz="0" w:space="0" w:color="auto"/>
      </w:divBdr>
    </w:div>
    <w:div w:id="1640726003">
      <w:bodyDiv w:val="1"/>
      <w:marLeft w:val="0"/>
      <w:marRight w:val="0"/>
      <w:marTop w:val="0"/>
      <w:marBottom w:val="0"/>
      <w:divBdr>
        <w:top w:val="none" w:sz="0" w:space="0" w:color="auto"/>
        <w:left w:val="none" w:sz="0" w:space="0" w:color="auto"/>
        <w:bottom w:val="none" w:sz="0" w:space="0" w:color="auto"/>
        <w:right w:val="none" w:sz="0" w:space="0" w:color="auto"/>
      </w:divBdr>
    </w:div>
    <w:div w:id="1642533846">
      <w:bodyDiv w:val="1"/>
      <w:marLeft w:val="0"/>
      <w:marRight w:val="0"/>
      <w:marTop w:val="0"/>
      <w:marBottom w:val="0"/>
      <w:divBdr>
        <w:top w:val="none" w:sz="0" w:space="0" w:color="auto"/>
        <w:left w:val="none" w:sz="0" w:space="0" w:color="auto"/>
        <w:bottom w:val="none" w:sz="0" w:space="0" w:color="auto"/>
        <w:right w:val="none" w:sz="0" w:space="0" w:color="auto"/>
      </w:divBdr>
    </w:div>
    <w:div w:id="1650590433">
      <w:bodyDiv w:val="1"/>
      <w:marLeft w:val="0"/>
      <w:marRight w:val="0"/>
      <w:marTop w:val="0"/>
      <w:marBottom w:val="0"/>
      <w:divBdr>
        <w:top w:val="none" w:sz="0" w:space="0" w:color="auto"/>
        <w:left w:val="none" w:sz="0" w:space="0" w:color="auto"/>
        <w:bottom w:val="none" w:sz="0" w:space="0" w:color="auto"/>
        <w:right w:val="none" w:sz="0" w:space="0" w:color="auto"/>
      </w:divBdr>
    </w:div>
    <w:div w:id="1651863203">
      <w:bodyDiv w:val="1"/>
      <w:marLeft w:val="0"/>
      <w:marRight w:val="0"/>
      <w:marTop w:val="0"/>
      <w:marBottom w:val="0"/>
      <w:divBdr>
        <w:top w:val="none" w:sz="0" w:space="0" w:color="auto"/>
        <w:left w:val="none" w:sz="0" w:space="0" w:color="auto"/>
        <w:bottom w:val="none" w:sz="0" w:space="0" w:color="auto"/>
        <w:right w:val="none" w:sz="0" w:space="0" w:color="auto"/>
      </w:divBdr>
    </w:div>
    <w:div w:id="1651907481">
      <w:bodyDiv w:val="1"/>
      <w:marLeft w:val="0"/>
      <w:marRight w:val="0"/>
      <w:marTop w:val="0"/>
      <w:marBottom w:val="0"/>
      <w:divBdr>
        <w:top w:val="none" w:sz="0" w:space="0" w:color="auto"/>
        <w:left w:val="none" w:sz="0" w:space="0" w:color="auto"/>
        <w:bottom w:val="none" w:sz="0" w:space="0" w:color="auto"/>
        <w:right w:val="none" w:sz="0" w:space="0" w:color="auto"/>
      </w:divBdr>
    </w:div>
    <w:div w:id="1652172663">
      <w:bodyDiv w:val="1"/>
      <w:marLeft w:val="0"/>
      <w:marRight w:val="0"/>
      <w:marTop w:val="0"/>
      <w:marBottom w:val="0"/>
      <w:divBdr>
        <w:top w:val="none" w:sz="0" w:space="0" w:color="auto"/>
        <w:left w:val="none" w:sz="0" w:space="0" w:color="auto"/>
        <w:bottom w:val="none" w:sz="0" w:space="0" w:color="auto"/>
        <w:right w:val="none" w:sz="0" w:space="0" w:color="auto"/>
      </w:divBdr>
    </w:div>
    <w:div w:id="1653558450">
      <w:bodyDiv w:val="1"/>
      <w:marLeft w:val="0"/>
      <w:marRight w:val="0"/>
      <w:marTop w:val="0"/>
      <w:marBottom w:val="0"/>
      <w:divBdr>
        <w:top w:val="none" w:sz="0" w:space="0" w:color="auto"/>
        <w:left w:val="none" w:sz="0" w:space="0" w:color="auto"/>
        <w:bottom w:val="none" w:sz="0" w:space="0" w:color="auto"/>
        <w:right w:val="none" w:sz="0" w:space="0" w:color="auto"/>
      </w:divBdr>
    </w:div>
    <w:div w:id="1653951003">
      <w:bodyDiv w:val="1"/>
      <w:marLeft w:val="0"/>
      <w:marRight w:val="0"/>
      <w:marTop w:val="0"/>
      <w:marBottom w:val="0"/>
      <w:divBdr>
        <w:top w:val="none" w:sz="0" w:space="0" w:color="auto"/>
        <w:left w:val="none" w:sz="0" w:space="0" w:color="auto"/>
        <w:bottom w:val="none" w:sz="0" w:space="0" w:color="auto"/>
        <w:right w:val="none" w:sz="0" w:space="0" w:color="auto"/>
      </w:divBdr>
    </w:div>
    <w:div w:id="1654411542">
      <w:bodyDiv w:val="1"/>
      <w:marLeft w:val="0"/>
      <w:marRight w:val="0"/>
      <w:marTop w:val="0"/>
      <w:marBottom w:val="0"/>
      <w:divBdr>
        <w:top w:val="none" w:sz="0" w:space="0" w:color="auto"/>
        <w:left w:val="none" w:sz="0" w:space="0" w:color="auto"/>
        <w:bottom w:val="none" w:sz="0" w:space="0" w:color="auto"/>
        <w:right w:val="none" w:sz="0" w:space="0" w:color="auto"/>
      </w:divBdr>
    </w:div>
    <w:div w:id="1656686732">
      <w:bodyDiv w:val="1"/>
      <w:marLeft w:val="0"/>
      <w:marRight w:val="0"/>
      <w:marTop w:val="0"/>
      <w:marBottom w:val="0"/>
      <w:divBdr>
        <w:top w:val="none" w:sz="0" w:space="0" w:color="auto"/>
        <w:left w:val="none" w:sz="0" w:space="0" w:color="auto"/>
        <w:bottom w:val="none" w:sz="0" w:space="0" w:color="auto"/>
        <w:right w:val="none" w:sz="0" w:space="0" w:color="auto"/>
      </w:divBdr>
    </w:div>
    <w:div w:id="1661035838">
      <w:bodyDiv w:val="1"/>
      <w:marLeft w:val="0"/>
      <w:marRight w:val="0"/>
      <w:marTop w:val="0"/>
      <w:marBottom w:val="0"/>
      <w:divBdr>
        <w:top w:val="none" w:sz="0" w:space="0" w:color="auto"/>
        <w:left w:val="none" w:sz="0" w:space="0" w:color="auto"/>
        <w:bottom w:val="none" w:sz="0" w:space="0" w:color="auto"/>
        <w:right w:val="none" w:sz="0" w:space="0" w:color="auto"/>
      </w:divBdr>
    </w:div>
    <w:div w:id="1666200820">
      <w:bodyDiv w:val="1"/>
      <w:marLeft w:val="0"/>
      <w:marRight w:val="0"/>
      <w:marTop w:val="0"/>
      <w:marBottom w:val="0"/>
      <w:divBdr>
        <w:top w:val="none" w:sz="0" w:space="0" w:color="auto"/>
        <w:left w:val="none" w:sz="0" w:space="0" w:color="auto"/>
        <w:bottom w:val="none" w:sz="0" w:space="0" w:color="auto"/>
        <w:right w:val="none" w:sz="0" w:space="0" w:color="auto"/>
      </w:divBdr>
    </w:div>
    <w:div w:id="1674607782">
      <w:bodyDiv w:val="1"/>
      <w:marLeft w:val="0"/>
      <w:marRight w:val="0"/>
      <w:marTop w:val="0"/>
      <w:marBottom w:val="0"/>
      <w:divBdr>
        <w:top w:val="none" w:sz="0" w:space="0" w:color="auto"/>
        <w:left w:val="none" w:sz="0" w:space="0" w:color="auto"/>
        <w:bottom w:val="none" w:sz="0" w:space="0" w:color="auto"/>
        <w:right w:val="none" w:sz="0" w:space="0" w:color="auto"/>
      </w:divBdr>
    </w:div>
    <w:div w:id="1674642769">
      <w:bodyDiv w:val="1"/>
      <w:marLeft w:val="0"/>
      <w:marRight w:val="0"/>
      <w:marTop w:val="0"/>
      <w:marBottom w:val="0"/>
      <w:divBdr>
        <w:top w:val="none" w:sz="0" w:space="0" w:color="auto"/>
        <w:left w:val="none" w:sz="0" w:space="0" w:color="auto"/>
        <w:bottom w:val="none" w:sz="0" w:space="0" w:color="auto"/>
        <w:right w:val="none" w:sz="0" w:space="0" w:color="auto"/>
      </w:divBdr>
    </w:div>
    <w:div w:id="1675179219">
      <w:bodyDiv w:val="1"/>
      <w:marLeft w:val="0"/>
      <w:marRight w:val="0"/>
      <w:marTop w:val="0"/>
      <w:marBottom w:val="0"/>
      <w:divBdr>
        <w:top w:val="none" w:sz="0" w:space="0" w:color="auto"/>
        <w:left w:val="none" w:sz="0" w:space="0" w:color="auto"/>
        <w:bottom w:val="none" w:sz="0" w:space="0" w:color="auto"/>
        <w:right w:val="none" w:sz="0" w:space="0" w:color="auto"/>
      </w:divBdr>
    </w:div>
    <w:div w:id="1675952832">
      <w:bodyDiv w:val="1"/>
      <w:marLeft w:val="0"/>
      <w:marRight w:val="0"/>
      <w:marTop w:val="0"/>
      <w:marBottom w:val="0"/>
      <w:divBdr>
        <w:top w:val="none" w:sz="0" w:space="0" w:color="auto"/>
        <w:left w:val="none" w:sz="0" w:space="0" w:color="auto"/>
        <w:bottom w:val="none" w:sz="0" w:space="0" w:color="auto"/>
        <w:right w:val="none" w:sz="0" w:space="0" w:color="auto"/>
      </w:divBdr>
    </w:div>
    <w:div w:id="1676612233">
      <w:bodyDiv w:val="1"/>
      <w:marLeft w:val="0"/>
      <w:marRight w:val="0"/>
      <w:marTop w:val="0"/>
      <w:marBottom w:val="0"/>
      <w:divBdr>
        <w:top w:val="none" w:sz="0" w:space="0" w:color="auto"/>
        <w:left w:val="none" w:sz="0" w:space="0" w:color="auto"/>
        <w:bottom w:val="none" w:sz="0" w:space="0" w:color="auto"/>
        <w:right w:val="none" w:sz="0" w:space="0" w:color="auto"/>
      </w:divBdr>
    </w:div>
    <w:div w:id="1693263308">
      <w:bodyDiv w:val="1"/>
      <w:marLeft w:val="0"/>
      <w:marRight w:val="0"/>
      <w:marTop w:val="0"/>
      <w:marBottom w:val="0"/>
      <w:divBdr>
        <w:top w:val="none" w:sz="0" w:space="0" w:color="auto"/>
        <w:left w:val="none" w:sz="0" w:space="0" w:color="auto"/>
        <w:bottom w:val="none" w:sz="0" w:space="0" w:color="auto"/>
        <w:right w:val="none" w:sz="0" w:space="0" w:color="auto"/>
      </w:divBdr>
    </w:div>
    <w:div w:id="1693921707">
      <w:bodyDiv w:val="1"/>
      <w:marLeft w:val="0"/>
      <w:marRight w:val="0"/>
      <w:marTop w:val="0"/>
      <w:marBottom w:val="0"/>
      <w:divBdr>
        <w:top w:val="none" w:sz="0" w:space="0" w:color="auto"/>
        <w:left w:val="none" w:sz="0" w:space="0" w:color="auto"/>
        <w:bottom w:val="none" w:sz="0" w:space="0" w:color="auto"/>
        <w:right w:val="none" w:sz="0" w:space="0" w:color="auto"/>
      </w:divBdr>
    </w:div>
    <w:div w:id="1699041259">
      <w:bodyDiv w:val="1"/>
      <w:marLeft w:val="0"/>
      <w:marRight w:val="0"/>
      <w:marTop w:val="0"/>
      <w:marBottom w:val="0"/>
      <w:divBdr>
        <w:top w:val="none" w:sz="0" w:space="0" w:color="auto"/>
        <w:left w:val="none" w:sz="0" w:space="0" w:color="auto"/>
        <w:bottom w:val="none" w:sz="0" w:space="0" w:color="auto"/>
        <w:right w:val="none" w:sz="0" w:space="0" w:color="auto"/>
      </w:divBdr>
    </w:div>
    <w:div w:id="1701979427">
      <w:bodyDiv w:val="1"/>
      <w:marLeft w:val="0"/>
      <w:marRight w:val="0"/>
      <w:marTop w:val="0"/>
      <w:marBottom w:val="0"/>
      <w:divBdr>
        <w:top w:val="none" w:sz="0" w:space="0" w:color="auto"/>
        <w:left w:val="none" w:sz="0" w:space="0" w:color="auto"/>
        <w:bottom w:val="none" w:sz="0" w:space="0" w:color="auto"/>
        <w:right w:val="none" w:sz="0" w:space="0" w:color="auto"/>
      </w:divBdr>
    </w:div>
    <w:div w:id="1702710319">
      <w:bodyDiv w:val="1"/>
      <w:marLeft w:val="0"/>
      <w:marRight w:val="0"/>
      <w:marTop w:val="0"/>
      <w:marBottom w:val="0"/>
      <w:divBdr>
        <w:top w:val="none" w:sz="0" w:space="0" w:color="auto"/>
        <w:left w:val="none" w:sz="0" w:space="0" w:color="auto"/>
        <w:bottom w:val="none" w:sz="0" w:space="0" w:color="auto"/>
        <w:right w:val="none" w:sz="0" w:space="0" w:color="auto"/>
      </w:divBdr>
    </w:div>
    <w:div w:id="1708096026">
      <w:bodyDiv w:val="1"/>
      <w:marLeft w:val="0"/>
      <w:marRight w:val="0"/>
      <w:marTop w:val="0"/>
      <w:marBottom w:val="0"/>
      <w:divBdr>
        <w:top w:val="none" w:sz="0" w:space="0" w:color="auto"/>
        <w:left w:val="none" w:sz="0" w:space="0" w:color="auto"/>
        <w:bottom w:val="none" w:sz="0" w:space="0" w:color="auto"/>
        <w:right w:val="none" w:sz="0" w:space="0" w:color="auto"/>
      </w:divBdr>
    </w:div>
    <w:div w:id="1711027807">
      <w:bodyDiv w:val="1"/>
      <w:marLeft w:val="0"/>
      <w:marRight w:val="0"/>
      <w:marTop w:val="0"/>
      <w:marBottom w:val="0"/>
      <w:divBdr>
        <w:top w:val="none" w:sz="0" w:space="0" w:color="auto"/>
        <w:left w:val="none" w:sz="0" w:space="0" w:color="auto"/>
        <w:bottom w:val="none" w:sz="0" w:space="0" w:color="auto"/>
        <w:right w:val="none" w:sz="0" w:space="0" w:color="auto"/>
      </w:divBdr>
    </w:div>
    <w:div w:id="1711756975">
      <w:bodyDiv w:val="1"/>
      <w:marLeft w:val="0"/>
      <w:marRight w:val="0"/>
      <w:marTop w:val="0"/>
      <w:marBottom w:val="0"/>
      <w:divBdr>
        <w:top w:val="none" w:sz="0" w:space="0" w:color="auto"/>
        <w:left w:val="none" w:sz="0" w:space="0" w:color="auto"/>
        <w:bottom w:val="none" w:sz="0" w:space="0" w:color="auto"/>
        <w:right w:val="none" w:sz="0" w:space="0" w:color="auto"/>
      </w:divBdr>
    </w:div>
    <w:div w:id="1714118282">
      <w:bodyDiv w:val="1"/>
      <w:marLeft w:val="0"/>
      <w:marRight w:val="0"/>
      <w:marTop w:val="0"/>
      <w:marBottom w:val="0"/>
      <w:divBdr>
        <w:top w:val="none" w:sz="0" w:space="0" w:color="auto"/>
        <w:left w:val="none" w:sz="0" w:space="0" w:color="auto"/>
        <w:bottom w:val="none" w:sz="0" w:space="0" w:color="auto"/>
        <w:right w:val="none" w:sz="0" w:space="0" w:color="auto"/>
      </w:divBdr>
    </w:div>
    <w:div w:id="1715807564">
      <w:bodyDiv w:val="1"/>
      <w:marLeft w:val="0"/>
      <w:marRight w:val="0"/>
      <w:marTop w:val="0"/>
      <w:marBottom w:val="0"/>
      <w:divBdr>
        <w:top w:val="none" w:sz="0" w:space="0" w:color="auto"/>
        <w:left w:val="none" w:sz="0" w:space="0" w:color="auto"/>
        <w:bottom w:val="none" w:sz="0" w:space="0" w:color="auto"/>
        <w:right w:val="none" w:sz="0" w:space="0" w:color="auto"/>
      </w:divBdr>
    </w:div>
    <w:div w:id="1718820959">
      <w:bodyDiv w:val="1"/>
      <w:marLeft w:val="0"/>
      <w:marRight w:val="0"/>
      <w:marTop w:val="0"/>
      <w:marBottom w:val="0"/>
      <w:divBdr>
        <w:top w:val="none" w:sz="0" w:space="0" w:color="auto"/>
        <w:left w:val="none" w:sz="0" w:space="0" w:color="auto"/>
        <w:bottom w:val="none" w:sz="0" w:space="0" w:color="auto"/>
        <w:right w:val="none" w:sz="0" w:space="0" w:color="auto"/>
      </w:divBdr>
    </w:div>
    <w:div w:id="1722747525">
      <w:bodyDiv w:val="1"/>
      <w:marLeft w:val="0"/>
      <w:marRight w:val="0"/>
      <w:marTop w:val="0"/>
      <w:marBottom w:val="0"/>
      <w:divBdr>
        <w:top w:val="none" w:sz="0" w:space="0" w:color="auto"/>
        <w:left w:val="none" w:sz="0" w:space="0" w:color="auto"/>
        <w:bottom w:val="none" w:sz="0" w:space="0" w:color="auto"/>
        <w:right w:val="none" w:sz="0" w:space="0" w:color="auto"/>
      </w:divBdr>
    </w:div>
    <w:div w:id="1725594458">
      <w:bodyDiv w:val="1"/>
      <w:marLeft w:val="0"/>
      <w:marRight w:val="0"/>
      <w:marTop w:val="0"/>
      <w:marBottom w:val="0"/>
      <w:divBdr>
        <w:top w:val="none" w:sz="0" w:space="0" w:color="auto"/>
        <w:left w:val="none" w:sz="0" w:space="0" w:color="auto"/>
        <w:bottom w:val="none" w:sz="0" w:space="0" w:color="auto"/>
        <w:right w:val="none" w:sz="0" w:space="0" w:color="auto"/>
      </w:divBdr>
    </w:div>
    <w:div w:id="1725912369">
      <w:bodyDiv w:val="1"/>
      <w:marLeft w:val="0"/>
      <w:marRight w:val="0"/>
      <w:marTop w:val="0"/>
      <w:marBottom w:val="0"/>
      <w:divBdr>
        <w:top w:val="none" w:sz="0" w:space="0" w:color="auto"/>
        <w:left w:val="none" w:sz="0" w:space="0" w:color="auto"/>
        <w:bottom w:val="none" w:sz="0" w:space="0" w:color="auto"/>
        <w:right w:val="none" w:sz="0" w:space="0" w:color="auto"/>
      </w:divBdr>
    </w:div>
    <w:div w:id="1726876674">
      <w:bodyDiv w:val="1"/>
      <w:marLeft w:val="0"/>
      <w:marRight w:val="0"/>
      <w:marTop w:val="0"/>
      <w:marBottom w:val="0"/>
      <w:divBdr>
        <w:top w:val="none" w:sz="0" w:space="0" w:color="auto"/>
        <w:left w:val="none" w:sz="0" w:space="0" w:color="auto"/>
        <w:bottom w:val="none" w:sz="0" w:space="0" w:color="auto"/>
        <w:right w:val="none" w:sz="0" w:space="0" w:color="auto"/>
      </w:divBdr>
    </w:div>
    <w:div w:id="1733458764">
      <w:bodyDiv w:val="1"/>
      <w:marLeft w:val="0"/>
      <w:marRight w:val="0"/>
      <w:marTop w:val="0"/>
      <w:marBottom w:val="0"/>
      <w:divBdr>
        <w:top w:val="none" w:sz="0" w:space="0" w:color="auto"/>
        <w:left w:val="none" w:sz="0" w:space="0" w:color="auto"/>
        <w:bottom w:val="none" w:sz="0" w:space="0" w:color="auto"/>
        <w:right w:val="none" w:sz="0" w:space="0" w:color="auto"/>
      </w:divBdr>
    </w:div>
    <w:div w:id="1734037742">
      <w:bodyDiv w:val="1"/>
      <w:marLeft w:val="0"/>
      <w:marRight w:val="0"/>
      <w:marTop w:val="0"/>
      <w:marBottom w:val="0"/>
      <w:divBdr>
        <w:top w:val="none" w:sz="0" w:space="0" w:color="auto"/>
        <w:left w:val="none" w:sz="0" w:space="0" w:color="auto"/>
        <w:bottom w:val="none" w:sz="0" w:space="0" w:color="auto"/>
        <w:right w:val="none" w:sz="0" w:space="0" w:color="auto"/>
      </w:divBdr>
    </w:div>
    <w:div w:id="1736318780">
      <w:bodyDiv w:val="1"/>
      <w:marLeft w:val="0"/>
      <w:marRight w:val="0"/>
      <w:marTop w:val="0"/>
      <w:marBottom w:val="0"/>
      <w:divBdr>
        <w:top w:val="none" w:sz="0" w:space="0" w:color="auto"/>
        <w:left w:val="none" w:sz="0" w:space="0" w:color="auto"/>
        <w:bottom w:val="none" w:sz="0" w:space="0" w:color="auto"/>
        <w:right w:val="none" w:sz="0" w:space="0" w:color="auto"/>
      </w:divBdr>
    </w:div>
    <w:div w:id="1738089457">
      <w:bodyDiv w:val="1"/>
      <w:marLeft w:val="0"/>
      <w:marRight w:val="0"/>
      <w:marTop w:val="0"/>
      <w:marBottom w:val="0"/>
      <w:divBdr>
        <w:top w:val="none" w:sz="0" w:space="0" w:color="auto"/>
        <w:left w:val="none" w:sz="0" w:space="0" w:color="auto"/>
        <w:bottom w:val="none" w:sz="0" w:space="0" w:color="auto"/>
        <w:right w:val="none" w:sz="0" w:space="0" w:color="auto"/>
      </w:divBdr>
    </w:div>
    <w:div w:id="1738941205">
      <w:bodyDiv w:val="1"/>
      <w:marLeft w:val="0"/>
      <w:marRight w:val="0"/>
      <w:marTop w:val="0"/>
      <w:marBottom w:val="0"/>
      <w:divBdr>
        <w:top w:val="none" w:sz="0" w:space="0" w:color="auto"/>
        <w:left w:val="none" w:sz="0" w:space="0" w:color="auto"/>
        <w:bottom w:val="none" w:sz="0" w:space="0" w:color="auto"/>
        <w:right w:val="none" w:sz="0" w:space="0" w:color="auto"/>
      </w:divBdr>
    </w:div>
    <w:div w:id="1740011355">
      <w:bodyDiv w:val="1"/>
      <w:marLeft w:val="0"/>
      <w:marRight w:val="0"/>
      <w:marTop w:val="0"/>
      <w:marBottom w:val="0"/>
      <w:divBdr>
        <w:top w:val="none" w:sz="0" w:space="0" w:color="auto"/>
        <w:left w:val="none" w:sz="0" w:space="0" w:color="auto"/>
        <w:bottom w:val="none" w:sz="0" w:space="0" w:color="auto"/>
        <w:right w:val="none" w:sz="0" w:space="0" w:color="auto"/>
      </w:divBdr>
    </w:div>
    <w:div w:id="1740012962">
      <w:bodyDiv w:val="1"/>
      <w:marLeft w:val="0"/>
      <w:marRight w:val="0"/>
      <w:marTop w:val="0"/>
      <w:marBottom w:val="0"/>
      <w:divBdr>
        <w:top w:val="none" w:sz="0" w:space="0" w:color="auto"/>
        <w:left w:val="none" w:sz="0" w:space="0" w:color="auto"/>
        <w:bottom w:val="none" w:sz="0" w:space="0" w:color="auto"/>
        <w:right w:val="none" w:sz="0" w:space="0" w:color="auto"/>
      </w:divBdr>
    </w:div>
    <w:div w:id="1751275028">
      <w:bodyDiv w:val="1"/>
      <w:marLeft w:val="0"/>
      <w:marRight w:val="0"/>
      <w:marTop w:val="0"/>
      <w:marBottom w:val="0"/>
      <w:divBdr>
        <w:top w:val="none" w:sz="0" w:space="0" w:color="auto"/>
        <w:left w:val="none" w:sz="0" w:space="0" w:color="auto"/>
        <w:bottom w:val="none" w:sz="0" w:space="0" w:color="auto"/>
        <w:right w:val="none" w:sz="0" w:space="0" w:color="auto"/>
      </w:divBdr>
    </w:div>
    <w:div w:id="1758015329">
      <w:bodyDiv w:val="1"/>
      <w:marLeft w:val="0"/>
      <w:marRight w:val="0"/>
      <w:marTop w:val="0"/>
      <w:marBottom w:val="0"/>
      <w:divBdr>
        <w:top w:val="none" w:sz="0" w:space="0" w:color="auto"/>
        <w:left w:val="none" w:sz="0" w:space="0" w:color="auto"/>
        <w:bottom w:val="none" w:sz="0" w:space="0" w:color="auto"/>
        <w:right w:val="none" w:sz="0" w:space="0" w:color="auto"/>
      </w:divBdr>
    </w:div>
    <w:div w:id="1759132875">
      <w:bodyDiv w:val="1"/>
      <w:marLeft w:val="0"/>
      <w:marRight w:val="0"/>
      <w:marTop w:val="0"/>
      <w:marBottom w:val="0"/>
      <w:divBdr>
        <w:top w:val="none" w:sz="0" w:space="0" w:color="auto"/>
        <w:left w:val="none" w:sz="0" w:space="0" w:color="auto"/>
        <w:bottom w:val="none" w:sz="0" w:space="0" w:color="auto"/>
        <w:right w:val="none" w:sz="0" w:space="0" w:color="auto"/>
      </w:divBdr>
    </w:div>
    <w:div w:id="1766879623">
      <w:bodyDiv w:val="1"/>
      <w:marLeft w:val="0"/>
      <w:marRight w:val="0"/>
      <w:marTop w:val="0"/>
      <w:marBottom w:val="0"/>
      <w:divBdr>
        <w:top w:val="none" w:sz="0" w:space="0" w:color="auto"/>
        <w:left w:val="none" w:sz="0" w:space="0" w:color="auto"/>
        <w:bottom w:val="none" w:sz="0" w:space="0" w:color="auto"/>
        <w:right w:val="none" w:sz="0" w:space="0" w:color="auto"/>
      </w:divBdr>
    </w:div>
    <w:div w:id="1769540485">
      <w:bodyDiv w:val="1"/>
      <w:marLeft w:val="0"/>
      <w:marRight w:val="0"/>
      <w:marTop w:val="0"/>
      <w:marBottom w:val="0"/>
      <w:divBdr>
        <w:top w:val="none" w:sz="0" w:space="0" w:color="auto"/>
        <w:left w:val="none" w:sz="0" w:space="0" w:color="auto"/>
        <w:bottom w:val="none" w:sz="0" w:space="0" w:color="auto"/>
        <w:right w:val="none" w:sz="0" w:space="0" w:color="auto"/>
      </w:divBdr>
    </w:div>
    <w:div w:id="1772508846">
      <w:bodyDiv w:val="1"/>
      <w:marLeft w:val="0"/>
      <w:marRight w:val="0"/>
      <w:marTop w:val="0"/>
      <w:marBottom w:val="0"/>
      <w:divBdr>
        <w:top w:val="none" w:sz="0" w:space="0" w:color="auto"/>
        <w:left w:val="none" w:sz="0" w:space="0" w:color="auto"/>
        <w:bottom w:val="none" w:sz="0" w:space="0" w:color="auto"/>
        <w:right w:val="none" w:sz="0" w:space="0" w:color="auto"/>
      </w:divBdr>
    </w:div>
    <w:div w:id="1773746105">
      <w:bodyDiv w:val="1"/>
      <w:marLeft w:val="0"/>
      <w:marRight w:val="0"/>
      <w:marTop w:val="0"/>
      <w:marBottom w:val="0"/>
      <w:divBdr>
        <w:top w:val="none" w:sz="0" w:space="0" w:color="auto"/>
        <w:left w:val="none" w:sz="0" w:space="0" w:color="auto"/>
        <w:bottom w:val="none" w:sz="0" w:space="0" w:color="auto"/>
        <w:right w:val="none" w:sz="0" w:space="0" w:color="auto"/>
      </w:divBdr>
    </w:div>
    <w:div w:id="1774395088">
      <w:bodyDiv w:val="1"/>
      <w:marLeft w:val="0"/>
      <w:marRight w:val="0"/>
      <w:marTop w:val="0"/>
      <w:marBottom w:val="0"/>
      <w:divBdr>
        <w:top w:val="none" w:sz="0" w:space="0" w:color="auto"/>
        <w:left w:val="none" w:sz="0" w:space="0" w:color="auto"/>
        <w:bottom w:val="none" w:sz="0" w:space="0" w:color="auto"/>
        <w:right w:val="none" w:sz="0" w:space="0" w:color="auto"/>
      </w:divBdr>
    </w:div>
    <w:div w:id="1779064188">
      <w:bodyDiv w:val="1"/>
      <w:marLeft w:val="0"/>
      <w:marRight w:val="0"/>
      <w:marTop w:val="0"/>
      <w:marBottom w:val="0"/>
      <w:divBdr>
        <w:top w:val="none" w:sz="0" w:space="0" w:color="auto"/>
        <w:left w:val="none" w:sz="0" w:space="0" w:color="auto"/>
        <w:bottom w:val="none" w:sz="0" w:space="0" w:color="auto"/>
        <w:right w:val="none" w:sz="0" w:space="0" w:color="auto"/>
      </w:divBdr>
    </w:div>
    <w:div w:id="1785921742">
      <w:bodyDiv w:val="1"/>
      <w:marLeft w:val="0"/>
      <w:marRight w:val="0"/>
      <w:marTop w:val="0"/>
      <w:marBottom w:val="0"/>
      <w:divBdr>
        <w:top w:val="none" w:sz="0" w:space="0" w:color="auto"/>
        <w:left w:val="none" w:sz="0" w:space="0" w:color="auto"/>
        <w:bottom w:val="none" w:sz="0" w:space="0" w:color="auto"/>
        <w:right w:val="none" w:sz="0" w:space="0" w:color="auto"/>
      </w:divBdr>
    </w:div>
    <w:div w:id="1787625533">
      <w:bodyDiv w:val="1"/>
      <w:marLeft w:val="0"/>
      <w:marRight w:val="0"/>
      <w:marTop w:val="0"/>
      <w:marBottom w:val="0"/>
      <w:divBdr>
        <w:top w:val="none" w:sz="0" w:space="0" w:color="auto"/>
        <w:left w:val="none" w:sz="0" w:space="0" w:color="auto"/>
        <w:bottom w:val="none" w:sz="0" w:space="0" w:color="auto"/>
        <w:right w:val="none" w:sz="0" w:space="0" w:color="auto"/>
      </w:divBdr>
    </w:div>
    <w:div w:id="1793472079">
      <w:bodyDiv w:val="1"/>
      <w:marLeft w:val="0"/>
      <w:marRight w:val="0"/>
      <w:marTop w:val="0"/>
      <w:marBottom w:val="0"/>
      <w:divBdr>
        <w:top w:val="none" w:sz="0" w:space="0" w:color="auto"/>
        <w:left w:val="none" w:sz="0" w:space="0" w:color="auto"/>
        <w:bottom w:val="none" w:sz="0" w:space="0" w:color="auto"/>
        <w:right w:val="none" w:sz="0" w:space="0" w:color="auto"/>
      </w:divBdr>
    </w:div>
    <w:div w:id="1795126430">
      <w:bodyDiv w:val="1"/>
      <w:marLeft w:val="0"/>
      <w:marRight w:val="0"/>
      <w:marTop w:val="0"/>
      <w:marBottom w:val="0"/>
      <w:divBdr>
        <w:top w:val="none" w:sz="0" w:space="0" w:color="auto"/>
        <w:left w:val="none" w:sz="0" w:space="0" w:color="auto"/>
        <w:bottom w:val="none" w:sz="0" w:space="0" w:color="auto"/>
        <w:right w:val="none" w:sz="0" w:space="0" w:color="auto"/>
      </w:divBdr>
    </w:div>
    <w:div w:id="1798063902">
      <w:bodyDiv w:val="1"/>
      <w:marLeft w:val="0"/>
      <w:marRight w:val="0"/>
      <w:marTop w:val="0"/>
      <w:marBottom w:val="0"/>
      <w:divBdr>
        <w:top w:val="none" w:sz="0" w:space="0" w:color="auto"/>
        <w:left w:val="none" w:sz="0" w:space="0" w:color="auto"/>
        <w:bottom w:val="none" w:sz="0" w:space="0" w:color="auto"/>
        <w:right w:val="none" w:sz="0" w:space="0" w:color="auto"/>
      </w:divBdr>
    </w:div>
    <w:div w:id="1799488175">
      <w:bodyDiv w:val="1"/>
      <w:marLeft w:val="0"/>
      <w:marRight w:val="0"/>
      <w:marTop w:val="0"/>
      <w:marBottom w:val="0"/>
      <w:divBdr>
        <w:top w:val="none" w:sz="0" w:space="0" w:color="auto"/>
        <w:left w:val="none" w:sz="0" w:space="0" w:color="auto"/>
        <w:bottom w:val="none" w:sz="0" w:space="0" w:color="auto"/>
        <w:right w:val="none" w:sz="0" w:space="0" w:color="auto"/>
      </w:divBdr>
    </w:div>
    <w:div w:id="1800147974">
      <w:bodyDiv w:val="1"/>
      <w:marLeft w:val="0"/>
      <w:marRight w:val="0"/>
      <w:marTop w:val="0"/>
      <w:marBottom w:val="0"/>
      <w:divBdr>
        <w:top w:val="none" w:sz="0" w:space="0" w:color="auto"/>
        <w:left w:val="none" w:sz="0" w:space="0" w:color="auto"/>
        <w:bottom w:val="none" w:sz="0" w:space="0" w:color="auto"/>
        <w:right w:val="none" w:sz="0" w:space="0" w:color="auto"/>
      </w:divBdr>
    </w:div>
    <w:div w:id="1800610588">
      <w:bodyDiv w:val="1"/>
      <w:marLeft w:val="0"/>
      <w:marRight w:val="0"/>
      <w:marTop w:val="0"/>
      <w:marBottom w:val="0"/>
      <w:divBdr>
        <w:top w:val="none" w:sz="0" w:space="0" w:color="auto"/>
        <w:left w:val="none" w:sz="0" w:space="0" w:color="auto"/>
        <w:bottom w:val="none" w:sz="0" w:space="0" w:color="auto"/>
        <w:right w:val="none" w:sz="0" w:space="0" w:color="auto"/>
      </w:divBdr>
    </w:div>
    <w:div w:id="1800875154">
      <w:bodyDiv w:val="1"/>
      <w:marLeft w:val="0"/>
      <w:marRight w:val="0"/>
      <w:marTop w:val="0"/>
      <w:marBottom w:val="0"/>
      <w:divBdr>
        <w:top w:val="none" w:sz="0" w:space="0" w:color="auto"/>
        <w:left w:val="none" w:sz="0" w:space="0" w:color="auto"/>
        <w:bottom w:val="none" w:sz="0" w:space="0" w:color="auto"/>
        <w:right w:val="none" w:sz="0" w:space="0" w:color="auto"/>
      </w:divBdr>
    </w:div>
    <w:div w:id="1802383893">
      <w:bodyDiv w:val="1"/>
      <w:marLeft w:val="0"/>
      <w:marRight w:val="0"/>
      <w:marTop w:val="0"/>
      <w:marBottom w:val="0"/>
      <w:divBdr>
        <w:top w:val="none" w:sz="0" w:space="0" w:color="auto"/>
        <w:left w:val="none" w:sz="0" w:space="0" w:color="auto"/>
        <w:bottom w:val="none" w:sz="0" w:space="0" w:color="auto"/>
        <w:right w:val="none" w:sz="0" w:space="0" w:color="auto"/>
      </w:divBdr>
    </w:div>
    <w:div w:id="1803232917">
      <w:bodyDiv w:val="1"/>
      <w:marLeft w:val="0"/>
      <w:marRight w:val="0"/>
      <w:marTop w:val="0"/>
      <w:marBottom w:val="0"/>
      <w:divBdr>
        <w:top w:val="none" w:sz="0" w:space="0" w:color="auto"/>
        <w:left w:val="none" w:sz="0" w:space="0" w:color="auto"/>
        <w:bottom w:val="none" w:sz="0" w:space="0" w:color="auto"/>
        <w:right w:val="none" w:sz="0" w:space="0" w:color="auto"/>
      </w:divBdr>
    </w:div>
    <w:div w:id="1803617712">
      <w:bodyDiv w:val="1"/>
      <w:marLeft w:val="0"/>
      <w:marRight w:val="0"/>
      <w:marTop w:val="0"/>
      <w:marBottom w:val="0"/>
      <w:divBdr>
        <w:top w:val="none" w:sz="0" w:space="0" w:color="auto"/>
        <w:left w:val="none" w:sz="0" w:space="0" w:color="auto"/>
        <w:bottom w:val="none" w:sz="0" w:space="0" w:color="auto"/>
        <w:right w:val="none" w:sz="0" w:space="0" w:color="auto"/>
      </w:divBdr>
    </w:div>
    <w:div w:id="1804691916">
      <w:bodyDiv w:val="1"/>
      <w:marLeft w:val="0"/>
      <w:marRight w:val="0"/>
      <w:marTop w:val="0"/>
      <w:marBottom w:val="0"/>
      <w:divBdr>
        <w:top w:val="none" w:sz="0" w:space="0" w:color="auto"/>
        <w:left w:val="none" w:sz="0" w:space="0" w:color="auto"/>
        <w:bottom w:val="none" w:sz="0" w:space="0" w:color="auto"/>
        <w:right w:val="none" w:sz="0" w:space="0" w:color="auto"/>
      </w:divBdr>
    </w:div>
    <w:div w:id="1807774993">
      <w:bodyDiv w:val="1"/>
      <w:marLeft w:val="0"/>
      <w:marRight w:val="0"/>
      <w:marTop w:val="0"/>
      <w:marBottom w:val="0"/>
      <w:divBdr>
        <w:top w:val="none" w:sz="0" w:space="0" w:color="auto"/>
        <w:left w:val="none" w:sz="0" w:space="0" w:color="auto"/>
        <w:bottom w:val="none" w:sz="0" w:space="0" w:color="auto"/>
        <w:right w:val="none" w:sz="0" w:space="0" w:color="auto"/>
      </w:divBdr>
    </w:div>
    <w:div w:id="1815760099">
      <w:bodyDiv w:val="1"/>
      <w:marLeft w:val="0"/>
      <w:marRight w:val="0"/>
      <w:marTop w:val="0"/>
      <w:marBottom w:val="0"/>
      <w:divBdr>
        <w:top w:val="none" w:sz="0" w:space="0" w:color="auto"/>
        <w:left w:val="none" w:sz="0" w:space="0" w:color="auto"/>
        <w:bottom w:val="none" w:sz="0" w:space="0" w:color="auto"/>
        <w:right w:val="none" w:sz="0" w:space="0" w:color="auto"/>
      </w:divBdr>
    </w:div>
    <w:div w:id="1824933449">
      <w:bodyDiv w:val="1"/>
      <w:marLeft w:val="0"/>
      <w:marRight w:val="0"/>
      <w:marTop w:val="0"/>
      <w:marBottom w:val="0"/>
      <w:divBdr>
        <w:top w:val="none" w:sz="0" w:space="0" w:color="auto"/>
        <w:left w:val="none" w:sz="0" w:space="0" w:color="auto"/>
        <w:bottom w:val="none" w:sz="0" w:space="0" w:color="auto"/>
        <w:right w:val="none" w:sz="0" w:space="0" w:color="auto"/>
      </w:divBdr>
    </w:div>
    <w:div w:id="1828278299">
      <w:bodyDiv w:val="1"/>
      <w:marLeft w:val="0"/>
      <w:marRight w:val="0"/>
      <w:marTop w:val="0"/>
      <w:marBottom w:val="0"/>
      <w:divBdr>
        <w:top w:val="none" w:sz="0" w:space="0" w:color="auto"/>
        <w:left w:val="none" w:sz="0" w:space="0" w:color="auto"/>
        <w:bottom w:val="none" w:sz="0" w:space="0" w:color="auto"/>
        <w:right w:val="none" w:sz="0" w:space="0" w:color="auto"/>
      </w:divBdr>
    </w:div>
    <w:div w:id="1829786899">
      <w:bodyDiv w:val="1"/>
      <w:marLeft w:val="0"/>
      <w:marRight w:val="0"/>
      <w:marTop w:val="0"/>
      <w:marBottom w:val="0"/>
      <w:divBdr>
        <w:top w:val="none" w:sz="0" w:space="0" w:color="auto"/>
        <w:left w:val="none" w:sz="0" w:space="0" w:color="auto"/>
        <w:bottom w:val="none" w:sz="0" w:space="0" w:color="auto"/>
        <w:right w:val="none" w:sz="0" w:space="0" w:color="auto"/>
      </w:divBdr>
    </w:div>
    <w:div w:id="1830367062">
      <w:bodyDiv w:val="1"/>
      <w:marLeft w:val="0"/>
      <w:marRight w:val="0"/>
      <w:marTop w:val="0"/>
      <w:marBottom w:val="0"/>
      <w:divBdr>
        <w:top w:val="none" w:sz="0" w:space="0" w:color="auto"/>
        <w:left w:val="none" w:sz="0" w:space="0" w:color="auto"/>
        <w:bottom w:val="none" w:sz="0" w:space="0" w:color="auto"/>
        <w:right w:val="none" w:sz="0" w:space="0" w:color="auto"/>
      </w:divBdr>
    </w:div>
    <w:div w:id="1832597048">
      <w:bodyDiv w:val="1"/>
      <w:marLeft w:val="0"/>
      <w:marRight w:val="0"/>
      <w:marTop w:val="0"/>
      <w:marBottom w:val="0"/>
      <w:divBdr>
        <w:top w:val="none" w:sz="0" w:space="0" w:color="auto"/>
        <w:left w:val="none" w:sz="0" w:space="0" w:color="auto"/>
        <w:bottom w:val="none" w:sz="0" w:space="0" w:color="auto"/>
        <w:right w:val="none" w:sz="0" w:space="0" w:color="auto"/>
      </w:divBdr>
    </w:div>
    <w:div w:id="1834026564">
      <w:bodyDiv w:val="1"/>
      <w:marLeft w:val="0"/>
      <w:marRight w:val="0"/>
      <w:marTop w:val="0"/>
      <w:marBottom w:val="0"/>
      <w:divBdr>
        <w:top w:val="none" w:sz="0" w:space="0" w:color="auto"/>
        <w:left w:val="none" w:sz="0" w:space="0" w:color="auto"/>
        <w:bottom w:val="none" w:sz="0" w:space="0" w:color="auto"/>
        <w:right w:val="none" w:sz="0" w:space="0" w:color="auto"/>
      </w:divBdr>
    </w:div>
    <w:div w:id="1834494169">
      <w:bodyDiv w:val="1"/>
      <w:marLeft w:val="0"/>
      <w:marRight w:val="0"/>
      <w:marTop w:val="0"/>
      <w:marBottom w:val="0"/>
      <w:divBdr>
        <w:top w:val="none" w:sz="0" w:space="0" w:color="auto"/>
        <w:left w:val="none" w:sz="0" w:space="0" w:color="auto"/>
        <w:bottom w:val="none" w:sz="0" w:space="0" w:color="auto"/>
        <w:right w:val="none" w:sz="0" w:space="0" w:color="auto"/>
      </w:divBdr>
    </w:div>
    <w:div w:id="1843547160">
      <w:bodyDiv w:val="1"/>
      <w:marLeft w:val="0"/>
      <w:marRight w:val="0"/>
      <w:marTop w:val="0"/>
      <w:marBottom w:val="0"/>
      <w:divBdr>
        <w:top w:val="none" w:sz="0" w:space="0" w:color="auto"/>
        <w:left w:val="none" w:sz="0" w:space="0" w:color="auto"/>
        <w:bottom w:val="none" w:sz="0" w:space="0" w:color="auto"/>
        <w:right w:val="none" w:sz="0" w:space="0" w:color="auto"/>
      </w:divBdr>
    </w:div>
    <w:div w:id="1843668486">
      <w:bodyDiv w:val="1"/>
      <w:marLeft w:val="0"/>
      <w:marRight w:val="0"/>
      <w:marTop w:val="0"/>
      <w:marBottom w:val="0"/>
      <w:divBdr>
        <w:top w:val="none" w:sz="0" w:space="0" w:color="auto"/>
        <w:left w:val="none" w:sz="0" w:space="0" w:color="auto"/>
        <w:bottom w:val="none" w:sz="0" w:space="0" w:color="auto"/>
        <w:right w:val="none" w:sz="0" w:space="0" w:color="auto"/>
      </w:divBdr>
    </w:div>
    <w:div w:id="1846438165">
      <w:bodyDiv w:val="1"/>
      <w:marLeft w:val="0"/>
      <w:marRight w:val="0"/>
      <w:marTop w:val="0"/>
      <w:marBottom w:val="0"/>
      <w:divBdr>
        <w:top w:val="none" w:sz="0" w:space="0" w:color="auto"/>
        <w:left w:val="none" w:sz="0" w:space="0" w:color="auto"/>
        <w:bottom w:val="none" w:sz="0" w:space="0" w:color="auto"/>
        <w:right w:val="none" w:sz="0" w:space="0" w:color="auto"/>
      </w:divBdr>
    </w:div>
    <w:div w:id="1848252615">
      <w:bodyDiv w:val="1"/>
      <w:marLeft w:val="0"/>
      <w:marRight w:val="0"/>
      <w:marTop w:val="0"/>
      <w:marBottom w:val="0"/>
      <w:divBdr>
        <w:top w:val="none" w:sz="0" w:space="0" w:color="auto"/>
        <w:left w:val="none" w:sz="0" w:space="0" w:color="auto"/>
        <w:bottom w:val="none" w:sz="0" w:space="0" w:color="auto"/>
        <w:right w:val="none" w:sz="0" w:space="0" w:color="auto"/>
      </w:divBdr>
    </w:div>
    <w:div w:id="1850638136">
      <w:bodyDiv w:val="1"/>
      <w:marLeft w:val="0"/>
      <w:marRight w:val="0"/>
      <w:marTop w:val="0"/>
      <w:marBottom w:val="0"/>
      <w:divBdr>
        <w:top w:val="none" w:sz="0" w:space="0" w:color="auto"/>
        <w:left w:val="none" w:sz="0" w:space="0" w:color="auto"/>
        <w:bottom w:val="none" w:sz="0" w:space="0" w:color="auto"/>
        <w:right w:val="none" w:sz="0" w:space="0" w:color="auto"/>
      </w:divBdr>
    </w:div>
    <w:div w:id="1851993323">
      <w:bodyDiv w:val="1"/>
      <w:marLeft w:val="0"/>
      <w:marRight w:val="0"/>
      <w:marTop w:val="0"/>
      <w:marBottom w:val="0"/>
      <w:divBdr>
        <w:top w:val="none" w:sz="0" w:space="0" w:color="auto"/>
        <w:left w:val="none" w:sz="0" w:space="0" w:color="auto"/>
        <w:bottom w:val="none" w:sz="0" w:space="0" w:color="auto"/>
        <w:right w:val="none" w:sz="0" w:space="0" w:color="auto"/>
      </w:divBdr>
    </w:div>
    <w:div w:id="1852991169">
      <w:bodyDiv w:val="1"/>
      <w:marLeft w:val="0"/>
      <w:marRight w:val="0"/>
      <w:marTop w:val="0"/>
      <w:marBottom w:val="0"/>
      <w:divBdr>
        <w:top w:val="none" w:sz="0" w:space="0" w:color="auto"/>
        <w:left w:val="none" w:sz="0" w:space="0" w:color="auto"/>
        <w:bottom w:val="none" w:sz="0" w:space="0" w:color="auto"/>
        <w:right w:val="none" w:sz="0" w:space="0" w:color="auto"/>
      </w:divBdr>
    </w:div>
    <w:div w:id="1853032700">
      <w:bodyDiv w:val="1"/>
      <w:marLeft w:val="0"/>
      <w:marRight w:val="0"/>
      <w:marTop w:val="0"/>
      <w:marBottom w:val="0"/>
      <w:divBdr>
        <w:top w:val="none" w:sz="0" w:space="0" w:color="auto"/>
        <w:left w:val="none" w:sz="0" w:space="0" w:color="auto"/>
        <w:bottom w:val="none" w:sz="0" w:space="0" w:color="auto"/>
        <w:right w:val="none" w:sz="0" w:space="0" w:color="auto"/>
      </w:divBdr>
    </w:div>
    <w:div w:id="1853493280">
      <w:bodyDiv w:val="1"/>
      <w:marLeft w:val="0"/>
      <w:marRight w:val="0"/>
      <w:marTop w:val="0"/>
      <w:marBottom w:val="0"/>
      <w:divBdr>
        <w:top w:val="none" w:sz="0" w:space="0" w:color="auto"/>
        <w:left w:val="none" w:sz="0" w:space="0" w:color="auto"/>
        <w:bottom w:val="none" w:sz="0" w:space="0" w:color="auto"/>
        <w:right w:val="none" w:sz="0" w:space="0" w:color="auto"/>
      </w:divBdr>
    </w:div>
    <w:div w:id="1855269855">
      <w:bodyDiv w:val="1"/>
      <w:marLeft w:val="0"/>
      <w:marRight w:val="0"/>
      <w:marTop w:val="0"/>
      <w:marBottom w:val="0"/>
      <w:divBdr>
        <w:top w:val="none" w:sz="0" w:space="0" w:color="auto"/>
        <w:left w:val="none" w:sz="0" w:space="0" w:color="auto"/>
        <w:bottom w:val="none" w:sz="0" w:space="0" w:color="auto"/>
        <w:right w:val="none" w:sz="0" w:space="0" w:color="auto"/>
      </w:divBdr>
    </w:div>
    <w:div w:id="1859419150">
      <w:bodyDiv w:val="1"/>
      <w:marLeft w:val="0"/>
      <w:marRight w:val="0"/>
      <w:marTop w:val="0"/>
      <w:marBottom w:val="0"/>
      <w:divBdr>
        <w:top w:val="none" w:sz="0" w:space="0" w:color="auto"/>
        <w:left w:val="none" w:sz="0" w:space="0" w:color="auto"/>
        <w:bottom w:val="none" w:sz="0" w:space="0" w:color="auto"/>
        <w:right w:val="none" w:sz="0" w:space="0" w:color="auto"/>
      </w:divBdr>
    </w:div>
    <w:div w:id="1862620901">
      <w:bodyDiv w:val="1"/>
      <w:marLeft w:val="0"/>
      <w:marRight w:val="0"/>
      <w:marTop w:val="0"/>
      <w:marBottom w:val="0"/>
      <w:divBdr>
        <w:top w:val="none" w:sz="0" w:space="0" w:color="auto"/>
        <w:left w:val="none" w:sz="0" w:space="0" w:color="auto"/>
        <w:bottom w:val="none" w:sz="0" w:space="0" w:color="auto"/>
        <w:right w:val="none" w:sz="0" w:space="0" w:color="auto"/>
      </w:divBdr>
    </w:div>
    <w:div w:id="1862889506">
      <w:bodyDiv w:val="1"/>
      <w:marLeft w:val="0"/>
      <w:marRight w:val="0"/>
      <w:marTop w:val="0"/>
      <w:marBottom w:val="0"/>
      <w:divBdr>
        <w:top w:val="none" w:sz="0" w:space="0" w:color="auto"/>
        <w:left w:val="none" w:sz="0" w:space="0" w:color="auto"/>
        <w:bottom w:val="none" w:sz="0" w:space="0" w:color="auto"/>
        <w:right w:val="none" w:sz="0" w:space="0" w:color="auto"/>
      </w:divBdr>
    </w:div>
    <w:div w:id="1867477209">
      <w:bodyDiv w:val="1"/>
      <w:marLeft w:val="0"/>
      <w:marRight w:val="0"/>
      <w:marTop w:val="0"/>
      <w:marBottom w:val="0"/>
      <w:divBdr>
        <w:top w:val="none" w:sz="0" w:space="0" w:color="auto"/>
        <w:left w:val="none" w:sz="0" w:space="0" w:color="auto"/>
        <w:bottom w:val="none" w:sz="0" w:space="0" w:color="auto"/>
        <w:right w:val="none" w:sz="0" w:space="0" w:color="auto"/>
      </w:divBdr>
    </w:div>
    <w:div w:id="1870333919">
      <w:bodyDiv w:val="1"/>
      <w:marLeft w:val="0"/>
      <w:marRight w:val="0"/>
      <w:marTop w:val="0"/>
      <w:marBottom w:val="0"/>
      <w:divBdr>
        <w:top w:val="none" w:sz="0" w:space="0" w:color="auto"/>
        <w:left w:val="none" w:sz="0" w:space="0" w:color="auto"/>
        <w:bottom w:val="none" w:sz="0" w:space="0" w:color="auto"/>
        <w:right w:val="none" w:sz="0" w:space="0" w:color="auto"/>
      </w:divBdr>
    </w:div>
    <w:div w:id="1872955613">
      <w:bodyDiv w:val="1"/>
      <w:marLeft w:val="0"/>
      <w:marRight w:val="0"/>
      <w:marTop w:val="0"/>
      <w:marBottom w:val="0"/>
      <w:divBdr>
        <w:top w:val="none" w:sz="0" w:space="0" w:color="auto"/>
        <w:left w:val="none" w:sz="0" w:space="0" w:color="auto"/>
        <w:bottom w:val="none" w:sz="0" w:space="0" w:color="auto"/>
        <w:right w:val="none" w:sz="0" w:space="0" w:color="auto"/>
      </w:divBdr>
    </w:div>
    <w:div w:id="1877960875">
      <w:bodyDiv w:val="1"/>
      <w:marLeft w:val="0"/>
      <w:marRight w:val="0"/>
      <w:marTop w:val="0"/>
      <w:marBottom w:val="0"/>
      <w:divBdr>
        <w:top w:val="none" w:sz="0" w:space="0" w:color="auto"/>
        <w:left w:val="none" w:sz="0" w:space="0" w:color="auto"/>
        <w:bottom w:val="none" w:sz="0" w:space="0" w:color="auto"/>
        <w:right w:val="none" w:sz="0" w:space="0" w:color="auto"/>
      </w:divBdr>
    </w:div>
    <w:div w:id="1878355013">
      <w:bodyDiv w:val="1"/>
      <w:marLeft w:val="0"/>
      <w:marRight w:val="0"/>
      <w:marTop w:val="0"/>
      <w:marBottom w:val="0"/>
      <w:divBdr>
        <w:top w:val="none" w:sz="0" w:space="0" w:color="auto"/>
        <w:left w:val="none" w:sz="0" w:space="0" w:color="auto"/>
        <w:bottom w:val="none" w:sz="0" w:space="0" w:color="auto"/>
        <w:right w:val="none" w:sz="0" w:space="0" w:color="auto"/>
      </w:divBdr>
    </w:div>
    <w:div w:id="1879463076">
      <w:bodyDiv w:val="1"/>
      <w:marLeft w:val="0"/>
      <w:marRight w:val="0"/>
      <w:marTop w:val="0"/>
      <w:marBottom w:val="0"/>
      <w:divBdr>
        <w:top w:val="none" w:sz="0" w:space="0" w:color="auto"/>
        <w:left w:val="none" w:sz="0" w:space="0" w:color="auto"/>
        <w:bottom w:val="none" w:sz="0" w:space="0" w:color="auto"/>
        <w:right w:val="none" w:sz="0" w:space="0" w:color="auto"/>
      </w:divBdr>
    </w:div>
    <w:div w:id="1885365754">
      <w:bodyDiv w:val="1"/>
      <w:marLeft w:val="0"/>
      <w:marRight w:val="0"/>
      <w:marTop w:val="0"/>
      <w:marBottom w:val="0"/>
      <w:divBdr>
        <w:top w:val="none" w:sz="0" w:space="0" w:color="auto"/>
        <w:left w:val="none" w:sz="0" w:space="0" w:color="auto"/>
        <w:bottom w:val="none" w:sz="0" w:space="0" w:color="auto"/>
        <w:right w:val="none" w:sz="0" w:space="0" w:color="auto"/>
      </w:divBdr>
    </w:div>
    <w:div w:id="1886061016">
      <w:bodyDiv w:val="1"/>
      <w:marLeft w:val="0"/>
      <w:marRight w:val="0"/>
      <w:marTop w:val="0"/>
      <w:marBottom w:val="0"/>
      <w:divBdr>
        <w:top w:val="none" w:sz="0" w:space="0" w:color="auto"/>
        <w:left w:val="none" w:sz="0" w:space="0" w:color="auto"/>
        <w:bottom w:val="none" w:sz="0" w:space="0" w:color="auto"/>
        <w:right w:val="none" w:sz="0" w:space="0" w:color="auto"/>
      </w:divBdr>
    </w:div>
    <w:div w:id="1888292613">
      <w:bodyDiv w:val="1"/>
      <w:marLeft w:val="0"/>
      <w:marRight w:val="0"/>
      <w:marTop w:val="0"/>
      <w:marBottom w:val="0"/>
      <w:divBdr>
        <w:top w:val="none" w:sz="0" w:space="0" w:color="auto"/>
        <w:left w:val="none" w:sz="0" w:space="0" w:color="auto"/>
        <w:bottom w:val="none" w:sz="0" w:space="0" w:color="auto"/>
        <w:right w:val="none" w:sz="0" w:space="0" w:color="auto"/>
      </w:divBdr>
    </w:div>
    <w:div w:id="1892959671">
      <w:bodyDiv w:val="1"/>
      <w:marLeft w:val="0"/>
      <w:marRight w:val="0"/>
      <w:marTop w:val="0"/>
      <w:marBottom w:val="0"/>
      <w:divBdr>
        <w:top w:val="none" w:sz="0" w:space="0" w:color="auto"/>
        <w:left w:val="none" w:sz="0" w:space="0" w:color="auto"/>
        <w:bottom w:val="none" w:sz="0" w:space="0" w:color="auto"/>
        <w:right w:val="none" w:sz="0" w:space="0" w:color="auto"/>
      </w:divBdr>
    </w:div>
    <w:div w:id="1893033354">
      <w:bodyDiv w:val="1"/>
      <w:marLeft w:val="0"/>
      <w:marRight w:val="0"/>
      <w:marTop w:val="0"/>
      <w:marBottom w:val="0"/>
      <w:divBdr>
        <w:top w:val="none" w:sz="0" w:space="0" w:color="auto"/>
        <w:left w:val="none" w:sz="0" w:space="0" w:color="auto"/>
        <w:bottom w:val="none" w:sz="0" w:space="0" w:color="auto"/>
        <w:right w:val="none" w:sz="0" w:space="0" w:color="auto"/>
      </w:divBdr>
    </w:div>
    <w:div w:id="1894612646">
      <w:bodyDiv w:val="1"/>
      <w:marLeft w:val="0"/>
      <w:marRight w:val="0"/>
      <w:marTop w:val="0"/>
      <w:marBottom w:val="0"/>
      <w:divBdr>
        <w:top w:val="none" w:sz="0" w:space="0" w:color="auto"/>
        <w:left w:val="none" w:sz="0" w:space="0" w:color="auto"/>
        <w:bottom w:val="none" w:sz="0" w:space="0" w:color="auto"/>
        <w:right w:val="none" w:sz="0" w:space="0" w:color="auto"/>
      </w:divBdr>
    </w:div>
    <w:div w:id="1897813435">
      <w:bodyDiv w:val="1"/>
      <w:marLeft w:val="0"/>
      <w:marRight w:val="0"/>
      <w:marTop w:val="0"/>
      <w:marBottom w:val="0"/>
      <w:divBdr>
        <w:top w:val="none" w:sz="0" w:space="0" w:color="auto"/>
        <w:left w:val="none" w:sz="0" w:space="0" w:color="auto"/>
        <w:bottom w:val="none" w:sz="0" w:space="0" w:color="auto"/>
        <w:right w:val="none" w:sz="0" w:space="0" w:color="auto"/>
      </w:divBdr>
    </w:div>
    <w:div w:id="1897814677">
      <w:bodyDiv w:val="1"/>
      <w:marLeft w:val="0"/>
      <w:marRight w:val="0"/>
      <w:marTop w:val="0"/>
      <w:marBottom w:val="0"/>
      <w:divBdr>
        <w:top w:val="none" w:sz="0" w:space="0" w:color="auto"/>
        <w:left w:val="none" w:sz="0" w:space="0" w:color="auto"/>
        <w:bottom w:val="none" w:sz="0" w:space="0" w:color="auto"/>
        <w:right w:val="none" w:sz="0" w:space="0" w:color="auto"/>
      </w:divBdr>
    </w:div>
    <w:div w:id="1901673239">
      <w:bodyDiv w:val="1"/>
      <w:marLeft w:val="0"/>
      <w:marRight w:val="0"/>
      <w:marTop w:val="0"/>
      <w:marBottom w:val="0"/>
      <w:divBdr>
        <w:top w:val="none" w:sz="0" w:space="0" w:color="auto"/>
        <w:left w:val="none" w:sz="0" w:space="0" w:color="auto"/>
        <w:bottom w:val="none" w:sz="0" w:space="0" w:color="auto"/>
        <w:right w:val="none" w:sz="0" w:space="0" w:color="auto"/>
      </w:divBdr>
    </w:div>
    <w:div w:id="1902208651">
      <w:bodyDiv w:val="1"/>
      <w:marLeft w:val="0"/>
      <w:marRight w:val="0"/>
      <w:marTop w:val="0"/>
      <w:marBottom w:val="0"/>
      <w:divBdr>
        <w:top w:val="none" w:sz="0" w:space="0" w:color="auto"/>
        <w:left w:val="none" w:sz="0" w:space="0" w:color="auto"/>
        <w:bottom w:val="none" w:sz="0" w:space="0" w:color="auto"/>
        <w:right w:val="none" w:sz="0" w:space="0" w:color="auto"/>
      </w:divBdr>
    </w:div>
    <w:div w:id="1903440642">
      <w:bodyDiv w:val="1"/>
      <w:marLeft w:val="0"/>
      <w:marRight w:val="0"/>
      <w:marTop w:val="0"/>
      <w:marBottom w:val="0"/>
      <w:divBdr>
        <w:top w:val="none" w:sz="0" w:space="0" w:color="auto"/>
        <w:left w:val="none" w:sz="0" w:space="0" w:color="auto"/>
        <w:bottom w:val="none" w:sz="0" w:space="0" w:color="auto"/>
        <w:right w:val="none" w:sz="0" w:space="0" w:color="auto"/>
      </w:divBdr>
    </w:div>
    <w:div w:id="1906333693">
      <w:bodyDiv w:val="1"/>
      <w:marLeft w:val="0"/>
      <w:marRight w:val="0"/>
      <w:marTop w:val="0"/>
      <w:marBottom w:val="0"/>
      <w:divBdr>
        <w:top w:val="none" w:sz="0" w:space="0" w:color="auto"/>
        <w:left w:val="none" w:sz="0" w:space="0" w:color="auto"/>
        <w:bottom w:val="none" w:sz="0" w:space="0" w:color="auto"/>
        <w:right w:val="none" w:sz="0" w:space="0" w:color="auto"/>
      </w:divBdr>
    </w:div>
    <w:div w:id="1907032759">
      <w:bodyDiv w:val="1"/>
      <w:marLeft w:val="0"/>
      <w:marRight w:val="0"/>
      <w:marTop w:val="0"/>
      <w:marBottom w:val="0"/>
      <w:divBdr>
        <w:top w:val="none" w:sz="0" w:space="0" w:color="auto"/>
        <w:left w:val="none" w:sz="0" w:space="0" w:color="auto"/>
        <w:bottom w:val="none" w:sz="0" w:space="0" w:color="auto"/>
        <w:right w:val="none" w:sz="0" w:space="0" w:color="auto"/>
      </w:divBdr>
    </w:div>
    <w:div w:id="1907646418">
      <w:bodyDiv w:val="1"/>
      <w:marLeft w:val="0"/>
      <w:marRight w:val="0"/>
      <w:marTop w:val="0"/>
      <w:marBottom w:val="0"/>
      <w:divBdr>
        <w:top w:val="none" w:sz="0" w:space="0" w:color="auto"/>
        <w:left w:val="none" w:sz="0" w:space="0" w:color="auto"/>
        <w:bottom w:val="none" w:sz="0" w:space="0" w:color="auto"/>
        <w:right w:val="none" w:sz="0" w:space="0" w:color="auto"/>
      </w:divBdr>
    </w:div>
    <w:div w:id="1915553690">
      <w:bodyDiv w:val="1"/>
      <w:marLeft w:val="0"/>
      <w:marRight w:val="0"/>
      <w:marTop w:val="0"/>
      <w:marBottom w:val="0"/>
      <w:divBdr>
        <w:top w:val="none" w:sz="0" w:space="0" w:color="auto"/>
        <w:left w:val="none" w:sz="0" w:space="0" w:color="auto"/>
        <w:bottom w:val="none" w:sz="0" w:space="0" w:color="auto"/>
        <w:right w:val="none" w:sz="0" w:space="0" w:color="auto"/>
      </w:divBdr>
    </w:div>
    <w:div w:id="1916087115">
      <w:bodyDiv w:val="1"/>
      <w:marLeft w:val="0"/>
      <w:marRight w:val="0"/>
      <w:marTop w:val="0"/>
      <w:marBottom w:val="0"/>
      <w:divBdr>
        <w:top w:val="none" w:sz="0" w:space="0" w:color="auto"/>
        <w:left w:val="none" w:sz="0" w:space="0" w:color="auto"/>
        <w:bottom w:val="none" w:sz="0" w:space="0" w:color="auto"/>
        <w:right w:val="none" w:sz="0" w:space="0" w:color="auto"/>
      </w:divBdr>
    </w:div>
    <w:div w:id="1922443375">
      <w:bodyDiv w:val="1"/>
      <w:marLeft w:val="0"/>
      <w:marRight w:val="0"/>
      <w:marTop w:val="0"/>
      <w:marBottom w:val="0"/>
      <w:divBdr>
        <w:top w:val="none" w:sz="0" w:space="0" w:color="auto"/>
        <w:left w:val="none" w:sz="0" w:space="0" w:color="auto"/>
        <w:bottom w:val="none" w:sz="0" w:space="0" w:color="auto"/>
        <w:right w:val="none" w:sz="0" w:space="0" w:color="auto"/>
      </w:divBdr>
    </w:div>
    <w:div w:id="1924531755">
      <w:bodyDiv w:val="1"/>
      <w:marLeft w:val="0"/>
      <w:marRight w:val="0"/>
      <w:marTop w:val="0"/>
      <w:marBottom w:val="0"/>
      <w:divBdr>
        <w:top w:val="none" w:sz="0" w:space="0" w:color="auto"/>
        <w:left w:val="none" w:sz="0" w:space="0" w:color="auto"/>
        <w:bottom w:val="none" w:sz="0" w:space="0" w:color="auto"/>
        <w:right w:val="none" w:sz="0" w:space="0" w:color="auto"/>
      </w:divBdr>
    </w:div>
    <w:div w:id="1930768271">
      <w:bodyDiv w:val="1"/>
      <w:marLeft w:val="0"/>
      <w:marRight w:val="0"/>
      <w:marTop w:val="0"/>
      <w:marBottom w:val="0"/>
      <w:divBdr>
        <w:top w:val="none" w:sz="0" w:space="0" w:color="auto"/>
        <w:left w:val="none" w:sz="0" w:space="0" w:color="auto"/>
        <w:bottom w:val="none" w:sz="0" w:space="0" w:color="auto"/>
        <w:right w:val="none" w:sz="0" w:space="0" w:color="auto"/>
      </w:divBdr>
    </w:div>
    <w:div w:id="1931115292">
      <w:bodyDiv w:val="1"/>
      <w:marLeft w:val="0"/>
      <w:marRight w:val="0"/>
      <w:marTop w:val="0"/>
      <w:marBottom w:val="0"/>
      <w:divBdr>
        <w:top w:val="none" w:sz="0" w:space="0" w:color="auto"/>
        <w:left w:val="none" w:sz="0" w:space="0" w:color="auto"/>
        <w:bottom w:val="none" w:sz="0" w:space="0" w:color="auto"/>
        <w:right w:val="none" w:sz="0" w:space="0" w:color="auto"/>
      </w:divBdr>
    </w:div>
    <w:div w:id="1932734439">
      <w:bodyDiv w:val="1"/>
      <w:marLeft w:val="0"/>
      <w:marRight w:val="0"/>
      <w:marTop w:val="0"/>
      <w:marBottom w:val="0"/>
      <w:divBdr>
        <w:top w:val="none" w:sz="0" w:space="0" w:color="auto"/>
        <w:left w:val="none" w:sz="0" w:space="0" w:color="auto"/>
        <w:bottom w:val="none" w:sz="0" w:space="0" w:color="auto"/>
        <w:right w:val="none" w:sz="0" w:space="0" w:color="auto"/>
      </w:divBdr>
    </w:div>
    <w:div w:id="1933009870">
      <w:bodyDiv w:val="1"/>
      <w:marLeft w:val="0"/>
      <w:marRight w:val="0"/>
      <w:marTop w:val="0"/>
      <w:marBottom w:val="0"/>
      <w:divBdr>
        <w:top w:val="none" w:sz="0" w:space="0" w:color="auto"/>
        <w:left w:val="none" w:sz="0" w:space="0" w:color="auto"/>
        <w:bottom w:val="none" w:sz="0" w:space="0" w:color="auto"/>
        <w:right w:val="none" w:sz="0" w:space="0" w:color="auto"/>
      </w:divBdr>
    </w:div>
    <w:div w:id="1940676826">
      <w:bodyDiv w:val="1"/>
      <w:marLeft w:val="0"/>
      <w:marRight w:val="0"/>
      <w:marTop w:val="0"/>
      <w:marBottom w:val="0"/>
      <w:divBdr>
        <w:top w:val="none" w:sz="0" w:space="0" w:color="auto"/>
        <w:left w:val="none" w:sz="0" w:space="0" w:color="auto"/>
        <w:bottom w:val="none" w:sz="0" w:space="0" w:color="auto"/>
        <w:right w:val="none" w:sz="0" w:space="0" w:color="auto"/>
      </w:divBdr>
    </w:div>
    <w:div w:id="1941720447">
      <w:bodyDiv w:val="1"/>
      <w:marLeft w:val="0"/>
      <w:marRight w:val="0"/>
      <w:marTop w:val="0"/>
      <w:marBottom w:val="0"/>
      <w:divBdr>
        <w:top w:val="none" w:sz="0" w:space="0" w:color="auto"/>
        <w:left w:val="none" w:sz="0" w:space="0" w:color="auto"/>
        <w:bottom w:val="none" w:sz="0" w:space="0" w:color="auto"/>
        <w:right w:val="none" w:sz="0" w:space="0" w:color="auto"/>
      </w:divBdr>
    </w:div>
    <w:div w:id="1946031728">
      <w:bodyDiv w:val="1"/>
      <w:marLeft w:val="0"/>
      <w:marRight w:val="0"/>
      <w:marTop w:val="0"/>
      <w:marBottom w:val="0"/>
      <w:divBdr>
        <w:top w:val="none" w:sz="0" w:space="0" w:color="auto"/>
        <w:left w:val="none" w:sz="0" w:space="0" w:color="auto"/>
        <w:bottom w:val="none" w:sz="0" w:space="0" w:color="auto"/>
        <w:right w:val="none" w:sz="0" w:space="0" w:color="auto"/>
      </w:divBdr>
    </w:div>
    <w:div w:id="1946233138">
      <w:bodyDiv w:val="1"/>
      <w:marLeft w:val="0"/>
      <w:marRight w:val="0"/>
      <w:marTop w:val="0"/>
      <w:marBottom w:val="0"/>
      <w:divBdr>
        <w:top w:val="none" w:sz="0" w:space="0" w:color="auto"/>
        <w:left w:val="none" w:sz="0" w:space="0" w:color="auto"/>
        <w:bottom w:val="none" w:sz="0" w:space="0" w:color="auto"/>
        <w:right w:val="none" w:sz="0" w:space="0" w:color="auto"/>
      </w:divBdr>
    </w:div>
    <w:div w:id="1958371876">
      <w:bodyDiv w:val="1"/>
      <w:marLeft w:val="0"/>
      <w:marRight w:val="0"/>
      <w:marTop w:val="0"/>
      <w:marBottom w:val="0"/>
      <w:divBdr>
        <w:top w:val="none" w:sz="0" w:space="0" w:color="auto"/>
        <w:left w:val="none" w:sz="0" w:space="0" w:color="auto"/>
        <w:bottom w:val="none" w:sz="0" w:space="0" w:color="auto"/>
        <w:right w:val="none" w:sz="0" w:space="0" w:color="auto"/>
      </w:divBdr>
    </w:div>
    <w:div w:id="1959602626">
      <w:bodyDiv w:val="1"/>
      <w:marLeft w:val="0"/>
      <w:marRight w:val="0"/>
      <w:marTop w:val="0"/>
      <w:marBottom w:val="0"/>
      <w:divBdr>
        <w:top w:val="none" w:sz="0" w:space="0" w:color="auto"/>
        <w:left w:val="none" w:sz="0" w:space="0" w:color="auto"/>
        <w:bottom w:val="none" w:sz="0" w:space="0" w:color="auto"/>
        <w:right w:val="none" w:sz="0" w:space="0" w:color="auto"/>
      </w:divBdr>
    </w:div>
    <w:div w:id="1968704689">
      <w:bodyDiv w:val="1"/>
      <w:marLeft w:val="0"/>
      <w:marRight w:val="0"/>
      <w:marTop w:val="0"/>
      <w:marBottom w:val="0"/>
      <w:divBdr>
        <w:top w:val="none" w:sz="0" w:space="0" w:color="auto"/>
        <w:left w:val="none" w:sz="0" w:space="0" w:color="auto"/>
        <w:bottom w:val="none" w:sz="0" w:space="0" w:color="auto"/>
        <w:right w:val="none" w:sz="0" w:space="0" w:color="auto"/>
      </w:divBdr>
    </w:div>
    <w:div w:id="1970040669">
      <w:bodyDiv w:val="1"/>
      <w:marLeft w:val="0"/>
      <w:marRight w:val="0"/>
      <w:marTop w:val="0"/>
      <w:marBottom w:val="0"/>
      <w:divBdr>
        <w:top w:val="none" w:sz="0" w:space="0" w:color="auto"/>
        <w:left w:val="none" w:sz="0" w:space="0" w:color="auto"/>
        <w:bottom w:val="none" w:sz="0" w:space="0" w:color="auto"/>
        <w:right w:val="none" w:sz="0" w:space="0" w:color="auto"/>
      </w:divBdr>
    </w:div>
    <w:div w:id="1973367787">
      <w:bodyDiv w:val="1"/>
      <w:marLeft w:val="0"/>
      <w:marRight w:val="0"/>
      <w:marTop w:val="0"/>
      <w:marBottom w:val="0"/>
      <w:divBdr>
        <w:top w:val="none" w:sz="0" w:space="0" w:color="auto"/>
        <w:left w:val="none" w:sz="0" w:space="0" w:color="auto"/>
        <w:bottom w:val="none" w:sz="0" w:space="0" w:color="auto"/>
        <w:right w:val="none" w:sz="0" w:space="0" w:color="auto"/>
      </w:divBdr>
    </w:div>
    <w:div w:id="1978410431">
      <w:bodyDiv w:val="1"/>
      <w:marLeft w:val="0"/>
      <w:marRight w:val="0"/>
      <w:marTop w:val="0"/>
      <w:marBottom w:val="0"/>
      <w:divBdr>
        <w:top w:val="none" w:sz="0" w:space="0" w:color="auto"/>
        <w:left w:val="none" w:sz="0" w:space="0" w:color="auto"/>
        <w:bottom w:val="none" w:sz="0" w:space="0" w:color="auto"/>
        <w:right w:val="none" w:sz="0" w:space="0" w:color="auto"/>
      </w:divBdr>
    </w:div>
    <w:div w:id="1981768259">
      <w:bodyDiv w:val="1"/>
      <w:marLeft w:val="0"/>
      <w:marRight w:val="0"/>
      <w:marTop w:val="0"/>
      <w:marBottom w:val="0"/>
      <w:divBdr>
        <w:top w:val="none" w:sz="0" w:space="0" w:color="auto"/>
        <w:left w:val="none" w:sz="0" w:space="0" w:color="auto"/>
        <w:bottom w:val="none" w:sz="0" w:space="0" w:color="auto"/>
        <w:right w:val="none" w:sz="0" w:space="0" w:color="auto"/>
      </w:divBdr>
    </w:div>
    <w:div w:id="1993018834">
      <w:bodyDiv w:val="1"/>
      <w:marLeft w:val="0"/>
      <w:marRight w:val="0"/>
      <w:marTop w:val="0"/>
      <w:marBottom w:val="0"/>
      <w:divBdr>
        <w:top w:val="none" w:sz="0" w:space="0" w:color="auto"/>
        <w:left w:val="none" w:sz="0" w:space="0" w:color="auto"/>
        <w:bottom w:val="none" w:sz="0" w:space="0" w:color="auto"/>
        <w:right w:val="none" w:sz="0" w:space="0" w:color="auto"/>
      </w:divBdr>
    </w:div>
    <w:div w:id="1994916145">
      <w:bodyDiv w:val="1"/>
      <w:marLeft w:val="0"/>
      <w:marRight w:val="0"/>
      <w:marTop w:val="0"/>
      <w:marBottom w:val="0"/>
      <w:divBdr>
        <w:top w:val="none" w:sz="0" w:space="0" w:color="auto"/>
        <w:left w:val="none" w:sz="0" w:space="0" w:color="auto"/>
        <w:bottom w:val="none" w:sz="0" w:space="0" w:color="auto"/>
        <w:right w:val="none" w:sz="0" w:space="0" w:color="auto"/>
      </w:divBdr>
    </w:div>
    <w:div w:id="1995910325">
      <w:bodyDiv w:val="1"/>
      <w:marLeft w:val="0"/>
      <w:marRight w:val="0"/>
      <w:marTop w:val="0"/>
      <w:marBottom w:val="0"/>
      <w:divBdr>
        <w:top w:val="none" w:sz="0" w:space="0" w:color="auto"/>
        <w:left w:val="none" w:sz="0" w:space="0" w:color="auto"/>
        <w:bottom w:val="none" w:sz="0" w:space="0" w:color="auto"/>
        <w:right w:val="none" w:sz="0" w:space="0" w:color="auto"/>
      </w:divBdr>
    </w:div>
    <w:div w:id="2000763786">
      <w:bodyDiv w:val="1"/>
      <w:marLeft w:val="0"/>
      <w:marRight w:val="0"/>
      <w:marTop w:val="0"/>
      <w:marBottom w:val="0"/>
      <w:divBdr>
        <w:top w:val="none" w:sz="0" w:space="0" w:color="auto"/>
        <w:left w:val="none" w:sz="0" w:space="0" w:color="auto"/>
        <w:bottom w:val="none" w:sz="0" w:space="0" w:color="auto"/>
        <w:right w:val="none" w:sz="0" w:space="0" w:color="auto"/>
      </w:divBdr>
    </w:div>
    <w:div w:id="2001035816">
      <w:bodyDiv w:val="1"/>
      <w:marLeft w:val="0"/>
      <w:marRight w:val="0"/>
      <w:marTop w:val="0"/>
      <w:marBottom w:val="0"/>
      <w:divBdr>
        <w:top w:val="none" w:sz="0" w:space="0" w:color="auto"/>
        <w:left w:val="none" w:sz="0" w:space="0" w:color="auto"/>
        <w:bottom w:val="none" w:sz="0" w:space="0" w:color="auto"/>
        <w:right w:val="none" w:sz="0" w:space="0" w:color="auto"/>
      </w:divBdr>
    </w:div>
    <w:div w:id="2010062364">
      <w:bodyDiv w:val="1"/>
      <w:marLeft w:val="0"/>
      <w:marRight w:val="0"/>
      <w:marTop w:val="0"/>
      <w:marBottom w:val="0"/>
      <w:divBdr>
        <w:top w:val="none" w:sz="0" w:space="0" w:color="auto"/>
        <w:left w:val="none" w:sz="0" w:space="0" w:color="auto"/>
        <w:bottom w:val="none" w:sz="0" w:space="0" w:color="auto"/>
        <w:right w:val="none" w:sz="0" w:space="0" w:color="auto"/>
      </w:divBdr>
    </w:div>
    <w:div w:id="2010256239">
      <w:bodyDiv w:val="1"/>
      <w:marLeft w:val="0"/>
      <w:marRight w:val="0"/>
      <w:marTop w:val="0"/>
      <w:marBottom w:val="0"/>
      <w:divBdr>
        <w:top w:val="none" w:sz="0" w:space="0" w:color="auto"/>
        <w:left w:val="none" w:sz="0" w:space="0" w:color="auto"/>
        <w:bottom w:val="none" w:sz="0" w:space="0" w:color="auto"/>
        <w:right w:val="none" w:sz="0" w:space="0" w:color="auto"/>
      </w:divBdr>
    </w:div>
    <w:div w:id="2012947398">
      <w:bodyDiv w:val="1"/>
      <w:marLeft w:val="0"/>
      <w:marRight w:val="0"/>
      <w:marTop w:val="0"/>
      <w:marBottom w:val="0"/>
      <w:divBdr>
        <w:top w:val="none" w:sz="0" w:space="0" w:color="auto"/>
        <w:left w:val="none" w:sz="0" w:space="0" w:color="auto"/>
        <w:bottom w:val="none" w:sz="0" w:space="0" w:color="auto"/>
        <w:right w:val="none" w:sz="0" w:space="0" w:color="auto"/>
      </w:divBdr>
    </w:div>
    <w:div w:id="2015448866">
      <w:bodyDiv w:val="1"/>
      <w:marLeft w:val="0"/>
      <w:marRight w:val="0"/>
      <w:marTop w:val="0"/>
      <w:marBottom w:val="0"/>
      <w:divBdr>
        <w:top w:val="none" w:sz="0" w:space="0" w:color="auto"/>
        <w:left w:val="none" w:sz="0" w:space="0" w:color="auto"/>
        <w:bottom w:val="none" w:sz="0" w:space="0" w:color="auto"/>
        <w:right w:val="none" w:sz="0" w:space="0" w:color="auto"/>
      </w:divBdr>
    </w:div>
    <w:div w:id="2023897413">
      <w:bodyDiv w:val="1"/>
      <w:marLeft w:val="0"/>
      <w:marRight w:val="0"/>
      <w:marTop w:val="0"/>
      <w:marBottom w:val="0"/>
      <w:divBdr>
        <w:top w:val="none" w:sz="0" w:space="0" w:color="auto"/>
        <w:left w:val="none" w:sz="0" w:space="0" w:color="auto"/>
        <w:bottom w:val="none" w:sz="0" w:space="0" w:color="auto"/>
        <w:right w:val="none" w:sz="0" w:space="0" w:color="auto"/>
      </w:divBdr>
    </w:div>
    <w:div w:id="2027176140">
      <w:bodyDiv w:val="1"/>
      <w:marLeft w:val="0"/>
      <w:marRight w:val="0"/>
      <w:marTop w:val="0"/>
      <w:marBottom w:val="0"/>
      <w:divBdr>
        <w:top w:val="none" w:sz="0" w:space="0" w:color="auto"/>
        <w:left w:val="none" w:sz="0" w:space="0" w:color="auto"/>
        <w:bottom w:val="none" w:sz="0" w:space="0" w:color="auto"/>
        <w:right w:val="none" w:sz="0" w:space="0" w:color="auto"/>
      </w:divBdr>
    </w:div>
    <w:div w:id="2028168546">
      <w:bodyDiv w:val="1"/>
      <w:marLeft w:val="0"/>
      <w:marRight w:val="0"/>
      <w:marTop w:val="0"/>
      <w:marBottom w:val="0"/>
      <w:divBdr>
        <w:top w:val="none" w:sz="0" w:space="0" w:color="auto"/>
        <w:left w:val="none" w:sz="0" w:space="0" w:color="auto"/>
        <w:bottom w:val="none" w:sz="0" w:space="0" w:color="auto"/>
        <w:right w:val="none" w:sz="0" w:space="0" w:color="auto"/>
      </w:divBdr>
    </w:div>
    <w:div w:id="2034259818">
      <w:bodyDiv w:val="1"/>
      <w:marLeft w:val="0"/>
      <w:marRight w:val="0"/>
      <w:marTop w:val="0"/>
      <w:marBottom w:val="0"/>
      <w:divBdr>
        <w:top w:val="none" w:sz="0" w:space="0" w:color="auto"/>
        <w:left w:val="none" w:sz="0" w:space="0" w:color="auto"/>
        <w:bottom w:val="none" w:sz="0" w:space="0" w:color="auto"/>
        <w:right w:val="none" w:sz="0" w:space="0" w:color="auto"/>
      </w:divBdr>
    </w:div>
    <w:div w:id="2034720912">
      <w:bodyDiv w:val="1"/>
      <w:marLeft w:val="0"/>
      <w:marRight w:val="0"/>
      <w:marTop w:val="0"/>
      <w:marBottom w:val="0"/>
      <w:divBdr>
        <w:top w:val="none" w:sz="0" w:space="0" w:color="auto"/>
        <w:left w:val="none" w:sz="0" w:space="0" w:color="auto"/>
        <w:bottom w:val="none" w:sz="0" w:space="0" w:color="auto"/>
        <w:right w:val="none" w:sz="0" w:space="0" w:color="auto"/>
      </w:divBdr>
    </w:div>
    <w:div w:id="2036928123">
      <w:bodyDiv w:val="1"/>
      <w:marLeft w:val="0"/>
      <w:marRight w:val="0"/>
      <w:marTop w:val="0"/>
      <w:marBottom w:val="0"/>
      <w:divBdr>
        <w:top w:val="none" w:sz="0" w:space="0" w:color="auto"/>
        <w:left w:val="none" w:sz="0" w:space="0" w:color="auto"/>
        <w:bottom w:val="none" w:sz="0" w:space="0" w:color="auto"/>
        <w:right w:val="none" w:sz="0" w:space="0" w:color="auto"/>
      </w:divBdr>
    </w:div>
    <w:div w:id="2041130152">
      <w:bodyDiv w:val="1"/>
      <w:marLeft w:val="0"/>
      <w:marRight w:val="0"/>
      <w:marTop w:val="0"/>
      <w:marBottom w:val="0"/>
      <w:divBdr>
        <w:top w:val="none" w:sz="0" w:space="0" w:color="auto"/>
        <w:left w:val="none" w:sz="0" w:space="0" w:color="auto"/>
        <w:bottom w:val="none" w:sz="0" w:space="0" w:color="auto"/>
        <w:right w:val="none" w:sz="0" w:space="0" w:color="auto"/>
      </w:divBdr>
    </w:div>
    <w:div w:id="2042364738">
      <w:bodyDiv w:val="1"/>
      <w:marLeft w:val="0"/>
      <w:marRight w:val="0"/>
      <w:marTop w:val="0"/>
      <w:marBottom w:val="0"/>
      <w:divBdr>
        <w:top w:val="none" w:sz="0" w:space="0" w:color="auto"/>
        <w:left w:val="none" w:sz="0" w:space="0" w:color="auto"/>
        <w:bottom w:val="none" w:sz="0" w:space="0" w:color="auto"/>
        <w:right w:val="none" w:sz="0" w:space="0" w:color="auto"/>
      </w:divBdr>
    </w:div>
    <w:div w:id="2043282402">
      <w:bodyDiv w:val="1"/>
      <w:marLeft w:val="0"/>
      <w:marRight w:val="0"/>
      <w:marTop w:val="0"/>
      <w:marBottom w:val="0"/>
      <w:divBdr>
        <w:top w:val="none" w:sz="0" w:space="0" w:color="auto"/>
        <w:left w:val="none" w:sz="0" w:space="0" w:color="auto"/>
        <w:bottom w:val="none" w:sz="0" w:space="0" w:color="auto"/>
        <w:right w:val="none" w:sz="0" w:space="0" w:color="auto"/>
      </w:divBdr>
    </w:div>
    <w:div w:id="2047288581">
      <w:bodyDiv w:val="1"/>
      <w:marLeft w:val="0"/>
      <w:marRight w:val="0"/>
      <w:marTop w:val="0"/>
      <w:marBottom w:val="0"/>
      <w:divBdr>
        <w:top w:val="none" w:sz="0" w:space="0" w:color="auto"/>
        <w:left w:val="none" w:sz="0" w:space="0" w:color="auto"/>
        <w:bottom w:val="none" w:sz="0" w:space="0" w:color="auto"/>
        <w:right w:val="none" w:sz="0" w:space="0" w:color="auto"/>
      </w:divBdr>
    </w:div>
    <w:div w:id="2049529390">
      <w:bodyDiv w:val="1"/>
      <w:marLeft w:val="0"/>
      <w:marRight w:val="0"/>
      <w:marTop w:val="0"/>
      <w:marBottom w:val="0"/>
      <w:divBdr>
        <w:top w:val="none" w:sz="0" w:space="0" w:color="auto"/>
        <w:left w:val="none" w:sz="0" w:space="0" w:color="auto"/>
        <w:bottom w:val="none" w:sz="0" w:space="0" w:color="auto"/>
        <w:right w:val="none" w:sz="0" w:space="0" w:color="auto"/>
      </w:divBdr>
    </w:div>
    <w:div w:id="2052874557">
      <w:bodyDiv w:val="1"/>
      <w:marLeft w:val="0"/>
      <w:marRight w:val="0"/>
      <w:marTop w:val="0"/>
      <w:marBottom w:val="0"/>
      <w:divBdr>
        <w:top w:val="none" w:sz="0" w:space="0" w:color="auto"/>
        <w:left w:val="none" w:sz="0" w:space="0" w:color="auto"/>
        <w:bottom w:val="none" w:sz="0" w:space="0" w:color="auto"/>
        <w:right w:val="none" w:sz="0" w:space="0" w:color="auto"/>
      </w:divBdr>
    </w:div>
    <w:div w:id="2055421153">
      <w:bodyDiv w:val="1"/>
      <w:marLeft w:val="0"/>
      <w:marRight w:val="0"/>
      <w:marTop w:val="0"/>
      <w:marBottom w:val="0"/>
      <w:divBdr>
        <w:top w:val="none" w:sz="0" w:space="0" w:color="auto"/>
        <w:left w:val="none" w:sz="0" w:space="0" w:color="auto"/>
        <w:bottom w:val="none" w:sz="0" w:space="0" w:color="auto"/>
        <w:right w:val="none" w:sz="0" w:space="0" w:color="auto"/>
      </w:divBdr>
    </w:div>
    <w:div w:id="2057584038">
      <w:bodyDiv w:val="1"/>
      <w:marLeft w:val="0"/>
      <w:marRight w:val="0"/>
      <w:marTop w:val="0"/>
      <w:marBottom w:val="0"/>
      <w:divBdr>
        <w:top w:val="none" w:sz="0" w:space="0" w:color="auto"/>
        <w:left w:val="none" w:sz="0" w:space="0" w:color="auto"/>
        <w:bottom w:val="none" w:sz="0" w:space="0" w:color="auto"/>
        <w:right w:val="none" w:sz="0" w:space="0" w:color="auto"/>
      </w:divBdr>
    </w:div>
    <w:div w:id="2059015989">
      <w:bodyDiv w:val="1"/>
      <w:marLeft w:val="0"/>
      <w:marRight w:val="0"/>
      <w:marTop w:val="0"/>
      <w:marBottom w:val="0"/>
      <w:divBdr>
        <w:top w:val="none" w:sz="0" w:space="0" w:color="auto"/>
        <w:left w:val="none" w:sz="0" w:space="0" w:color="auto"/>
        <w:bottom w:val="none" w:sz="0" w:space="0" w:color="auto"/>
        <w:right w:val="none" w:sz="0" w:space="0" w:color="auto"/>
      </w:divBdr>
    </w:div>
    <w:div w:id="2068409476">
      <w:bodyDiv w:val="1"/>
      <w:marLeft w:val="0"/>
      <w:marRight w:val="0"/>
      <w:marTop w:val="0"/>
      <w:marBottom w:val="0"/>
      <w:divBdr>
        <w:top w:val="none" w:sz="0" w:space="0" w:color="auto"/>
        <w:left w:val="none" w:sz="0" w:space="0" w:color="auto"/>
        <w:bottom w:val="none" w:sz="0" w:space="0" w:color="auto"/>
        <w:right w:val="none" w:sz="0" w:space="0" w:color="auto"/>
      </w:divBdr>
    </w:div>
    <w:div w:id="2073038259">
      <w:bodyDiv w:val="1"/>
      <w:marLeft w:val="0"/>
      <w:marRight w:val="0"/>
      <w:marTop w:val="0"/>
      <w:marBottom w:val="0"/>
      <w:divBdr>
        <w:top w:val="none" w:sz="0" w:space="0" w:color="auto"/>
        <w:left w:val="none" w:sz="0" w:space="0" w:color="auto"/>
        <w:bottom w:val="none" w:sz="0" w:space="0" w:color="auto"/>
        <w:right w:val="none" w:sz="0" w:space="0" w:color="auto"/>
      </w:divBdr>
    </w:div>
    <w:div w:id="2074548107">
      <w:bodyDiv w:val="1"/>
      <w:marLeft w:val="0"/>
      <w:marRight w:val="0"/>
      <w:marTop w:val="0"/>
      <w:marBottom w:val="0"/>
      <w:divBdr>
        <w:top w:val="none" w:sz="0" w:space="0" w:color="auto"/>
        <w:left w:val="none" w:sz="0" w:space="0" w:color="auto"/>
        <w:bottom w:val="none" w:sz="0" w:space="0" w:color="auto"/>
        <w:right w:val="none" w:sz="0" w:space="0" w:color="auto"/>
      </w:divBdr>
    </w:div>
    <w:div w:id="2079790203">
      <w:bodyDiv w:val="1"/>
      <w:marLeft w:val="0"/>
      <w:marRight w:val="0"/>
      <w:marTop w:val="0"/>
      <w:marBottom w:val="0"/>
      <w:divBdr>
        <w:top w:val="none" w:sz="0" w:space="0" w:color="auto"/>
        <w:left w:val="none" w:sz="0" w:space="0" w:color="auto"/>
        <w:bottom w:val="none" w:sz="0" w:space="0" w:color="auto"/>
        <w:right w:val="none" w:sz="0" w:space="0" w:color="auto"/>
      </w:divBdr>
    </w:div>
    <w:div w:id="2080008652">
      <w:bodyDiv w:val="1"/>
      <w:marLeft w:val="0"/>
      <w:marRight w:val="0"/>
      <w:marTop w:val="0"/>
      <w:marBottom w:val="0"/>
      <w:divBdr>
        <w:top w:val="none" w:sz="0" w:space="0" w:color="auto"/>
        <w:left w:val="none" w:sz="0" w:space="0" w:color="auto"/>
        <w:bottom w:val="none" w:sz="0" w:space="0" w:color="auto"/>
        <w:right w:val="none" w:sz="0" w:space="0" w:color="auto"/>
      </w:divBdr>
    </w:div>
    <w:div w:id="2086293541">
      <w:bodyDiv w:val="1"/>
      <w:marLeft w:val="0"/>
      <w:marRight w:val="0"/>
      <w:marTop w:val="0"/>
      <w:marBottom w:val="0"/>
      <w:divBdr>
        <w:top w:val="none" w:sz="0" w:space="0" w:color="auto"/>
        <w:left w:val="none" w:sz="0" w:space="0" w:color="auto"/>
        <w:bottom w:val="none" w:sz="0" w:space="0" w:color="auto"/>
        <w:right w:val="none" w:sz="0" w:space="0" w:color="auto"/>
      </w:divBdr>
    </w:div>
    <w:div w:id="2087260577">
      <w:bodyDiv w:val="1"/>
      <w:marLeft w:val="0"/>
      <w:marRight w:val="0"/>
      <w:marTop w:val="0"/>
      <w:marBottom w:val="0"/>
      <w:divBdr>
        <w:top w:val="none" w:sz="0" w:space="0" w:color="auto"/>
        <w:left w:val="none" w:sz="0" w:space="0" w:color="auto"/>
        <w:bottom w:val="none" w:sz="0" w:space="0" w:color="auto"/>
        <w:right w:val="none" w:sz="0" w:space="0" w:color="auto"/>
      </w:divBdr>
    </w:div>
    <w:div w:id="2089156828">
      <w:bodyDiv w:val="1"/>
      <w:marLeft w:val="0"/>
      <w:marRight w:val="0"/>
      <w:marTop w:val="0"/>
      <w:marBottom w:val="0"/>
      <w:divBdr>
        <w:top w:val="none" w:sz="0" w:space="0" w:color="auto"/>
        <w:left w:val="none" w:sz="0" w:space="0" w:color="auto"/>
        <w:bottom w:val="none" w:sz="0" w:space="0" w:color="auto"/>
        <w:right w:val="none" w:sz="0" w:space="0" w:color="auto"/>
      </w:divBdr>
    </w:div>
    <w:div w:id="2089383660">
      <w:bodyDiv w:val="1"/>
      <w:marLeft w:val="0"/>
      <w:marRight w:val="0"/>
      <w:marTop w:val="0"/>
      <w:marBottom w:val="0"/>
      <w:divBdr>
        <w:top w:val="none" w:sz="0" w:space="0" w:color="auto"/>
        <w:left w:val="none" w:sz="0" w:space="0" w:color="auto"/>
        <w:bottom w:val="none" w:sz="0" w:space="0" w:color="auto"/>
        <w:right w:val="none" w:sz="0" w:space="0" w:color="auto"/>
      </w:divBdr>
    </w:div>
    <w:div w:id="2091345604">
      <w:bodyDiv w:val="1"/>
      <w:marLeft w:val="0"/>
      <w:marRight w:val="0"/>
      <w:marTop w:val="0"/>
      <w:marBottom w:val="0"/>
      <w:divBdr>
        <w:top w:val="none" w:sz="0" w:space="0" w:color="auto"/>
        <w:left w:val="none" w:sz="0" w:space="0" w:color="auto"/>
        <w:bottom w:val="none" w:sz="0" w:space="0" w:color="auto"/>
        <w:right w:val="none" w:sz="0" w:space="0" w:color="auto"/>
      </w:divBdr>
    </w:div>
    <w:div w:id="2091654828">
      <w:bodyDiv w:val="1"/>
      <w:marLeft w:val="0"/>
      <w:marRight w:val="0"/>
      <w:marTop w:val="0"/>
      <w:marBottom w:val="0"/>
      <w:divBdr>
        <w:top w:val="none" w:sz="0" w:space="0" w:color="auto"/>
        <w:left w:val="none" w:sz="0" w:space="0" w:color="auto"/>
        <w:bottom w:val="none" w:sz="0" w:space="0" w:color="auto"/>
        <w:right w:val="none" w:sz="0" w:space="0" w:color="auto"/>
      </w:divBdr>
    </w:div>
    <w:div w:id="2101826739">
      <w:bodyDiv w:val="1"/>
      <w:marLeft w:val="0"/>
      <w:marRight w:val="0"/>
      <w:marTop w:val="0"/>
      <w:marBottom w:val="0"/>
      <w:divBdr>
        <w:top w:val="none" w:sz="0" w:space="0" w:color="auto"/>
        <w:left w:val="none" w:sz="0" w:space="0" w:color="auto"/>
        <w:bottom w:val="none" w:sz="0" w:space="0" w:color="auto"/>
        <w:right w:val="none" w:sz="0" w:space="0" w:color="auto"/>
      </w:divBdr>
    </w:div>
    <w:div w:id="2108770630">
      <w:bodyDiv w:val="1"/>
      <w:marLeft w:val="0"/>
      <w:marRight w:val="0"/>
      <w:marTop w:val="0"/>
      <w:marBottom w:val="0"/>
      <w:divBdr>
        <w:top w:val="none" w:sz="0" w:space="0" w:color="auto"/>
        <w:left w:val="none" w:sz="0" w:space="0" w:color="auto"/>
        <w:bottom w:val="none" w:sz="0" w:space="0" w:color="auto"/>
        <w:right w:val="none" w:sz="0" w:space="0" w:color="auto"/>
      </w:divBdr>
    </w:div>
    <w:div w:id="2109425630">
      <w:bodyDiv w:val="1"/>
      <w:marLeft w:val="0"/>
      <w:marRight w:val="0"/>
      <w:marTop w:val="0"/>
      <w:marBottom w:val="0"/>
      <w:divBdr>
        <w:top w:val="none" w:sz="0" w:space="0" w:color="auto"/>
        <w:left w:val="none" w:sz="0" w:space="0" w:color="auto"/>
        <w:bottom w:val="none" w:sz="0" w:space="0" w:color="auto"/>
        <w:right w:val="none" w:sz="0" w:space="0" w:color="auto"/>
      </w:divBdr>
    </w:div>
    <w:div w:id="2117014015">
      <w:bodyDiv w:val="1"/>
      <w:marLeft w:val="0"/>
      <w:marRight w:val="0"/>
      <w:marTop w:val="0"/>
      <w:marBottom w:val="0"/>
      <w:divBdr>
        <w:top w:val="none" w:sz="0" w:space="0" w:color="auto"/>
        <w:left w:val="none" w:sz="0" w:space="0" w:color="auto"/>
        <w:bottom w:val="none" w:sz="0" w:space="0" w:color="auto"/>
        <w:right w:val="none" w:sz="0" w:space="0" w:color="auto"/>
      </w:divBdr>
    </w:div>
    <w:div w:id="2124957400">
      <w:bodyDiv w:val="1"/>
      <w:marLeft w:val="0"/>
      <w:marRight w:val="0"/>
      <w:marTop w:val="0"/>
      <w:marBottom w:val="0"/>
      <w:divBdr>
        <w:top w:val="none" w:sz="0" w:space="0" w:color="auto"/>
        <w:left w:val="none" w:sz="0" w:space="0" w:color="auto"/>
        <w:bottom w:val="none" w:sz="0" w:space="0" w:color="auto"/>
        <w:right w:val="none" w:sz="0" w:space="0" w:color="auto"/>
      </w:divBdr>
    </w:div>
    <w:div w:id="2125267179">
      <w:bodyDiv w:val="1"/>
      <w:marLeft w:val="0"/>
      <w:marRight w:val="0"/>
      <w:marTop w:val="0"/>
      <w:marBottom w:val="0"/>
      <w:divBdr>
        <w:top w:val="none" w:sz="0" w:space="0" w:color="auto"/>
        <w:left w:val="none" w:sz="0" w:space="0" w:color="auto"/>
        <w:bottom w:val="none" w:sz="0" w:space="0" w:color="auto"/>
        <w:right w:val="none" w:sz="0" w:space="0" w:color="auto"/>
      </w:divBdr>
    </w:div>
    <w:div w:id="2125925354">
      <w:bodyDiv w:val="1"/>
      <w:marLeft w:val="0"/>
      <w:marRight w:val="0"/>
      <w:marTop w:val="0"/>
      <w:marBottom w:val="0"/>
      <w:divBdr>
        <w:top w:val="none" w:sz="0" w:space="0" w:color="auto"/>
        <w:left w:val="none" w:sz="0" w:space="0" w:color="auto"/>
        <w:bottom w:val="none" w:sz="0" w:space="0" w:color="auto"/>
        <w:right w:val="none" w:sz="0" w:space="0" w:color="auto"/>
      </w:divBdr>
    </w:div>
    <w:div w:id="2130510900">
      <w:bodyDiv w:val="1"/>
      <w:marLeft w:val="0"/>
      <w:marRight w:val="0"/>
      <w:marTop w:val="0"/>
      <w:marBottom w:val="0"/>
      <w:divBdr>
        <w:top w:val="none" w:sz="0" w:space="0" w:color="auto"/>
        <w:left w:val="none" w:sz="0" w:space="0" w:color="auto"/>
        <w:bottom w:val="none" w:sz="0" w:space="0" w:color="auto"/>
        <w:right w:val="none" w:sz="0" w:space="0" w:color="auto"/>
      </w:divBdr>
    </w:div>
    <w:div w:id="214292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EN/TXT/PDF/?uri=OJ:L_202401689" TargetMode="External"/><Relationship Id="rId18" Type="http://schemas.openxmlformats.org/officeDocument/2006/relationships/hyperlink" Target="https://www.cftc.gov/media/11761/%20enfyukomcommunicationsorder012925/download" TargetMode="External"/><Relationship Id="rId26" Type="http://schemas.openxmlformats.org/officeDocument/2006/relationships/hyperlink" Target="https://www.fca.org.uk/publications/consultation-papers/cp25-2-further-changes-public-offers-admissions-trading-regime-uk-listing-rules" TargetMode="External"/><Relationship Id="rId21" Type="http://schemas.openxmlformats.org/officeDocument/2006/relationships/hyperlink" Target="https://www.sec.gov/newsroom/press-releases/2025-35" TargetMode="External"/><Relationship Id="rId34" Type="http://schemas.openxmlformats.org/officeDocument/2006/relationships/hyperlink" Target="https://www.sec.gov/newsroom/press-releases/2025-36" TargetMode="External"/><Relationship Id="rId7" Type="http://schemas.openxmlformats.org/officeDocument/2006/relationships/hyperlink" Target="https://www.sec.gov/resources-small-businesses/exempt-offerings/regulation" TargetMode="External"/><Relationship Id="rId12" Type="http://schemas.openxmlformats.org/officeDocument/2006/relationships/hyperlink" Target="https://www.mas.gov.sg/news/monetary-policy-statements/2025/mas-monetary-policy-statement-24jan25" TargetMode="External"/><Relationship Id="rId17" Type="http://schemas.openxmlformats.org/officeDocument/2006/relationships/hyperlink" Target="https://www.cftc.gov/exit/index.htm?https://www.law.cornell.edu/uscode/text/7/chapter-1" TargetMode="External"/><Relationship Id="rId25" Type="http://schemas.openxmlformats.org/officeDocument/2006/relationships/hyperlink" Target="https://www.fca.org.uk/publication/consultation/cp24-13.pdf" TargetMode="External"/><Relationship Id="rId33" Type="http://schemas.openxmlformats.org/officeDocument/2006/relationships/hyperlink" Target="https://www.sec.gov/files/litigation/litreleases/2025/judg26239.pdf" TargetMode="External"/><Relationship Id="rId2" Type="http://schemas.openxmlformats.org/officeDocument/2006/relationships/numbering" Target="numbering.xml"/><Relationship Id="rId16" Type="http://schemas.openxmlformats.org/officeDocument/2006/relationships/hyperlink" Target="https://www.cftc.gov/media/11761/%20enfyukomcommunicationsorder012925/download" TargetMode="External"/><Relationship Id="rId20" Type="http://schemas.openxmlformats.org/officeDocument/2006/relationships/hyperlink" Target="https://www.sec.gov/newsroom/press-releases/2025-34" TargetMode="External"/><Relationship Id="rId29" Type="http://schemas.openxmlformats.org/officeDocument/2006/relationships/hyperlink" Target="https://www.sec.gov/files/litigation/litreleases/2025/judg26239.pdf" TargetMode="External"/><Relationship Id="rId1" Type="http://schemas.openxmlformats.org/officeDocument/2006/relationships/customXml" Target="../customXml/item1.xml"/><Relationship Id="rId6" Type="http://schemas.openxmlformats.org/officeDocument/2006/relationships/hyperlink" Target="https://www.sec.gov/newsroom/speeches-statements/peirce-journey-begins-020425" TargetMode="External"/><Relationship Id="rId11" Type="http://schemas.openxmlformats.org/officeDocument/2006/relationships/hyperlink" Target="https://www.sec.gov/files/rules/sro/nysearca/2025/34-102310.pdf" TargetMode="External"/><Relationship Id="rId24" Type="http://schemas.openxmlformats.org/officeDocument/2006/relationships/hyperlink" Target="https://www.fca.org.uk/publication/consultation/cp24-12.pdf" TargetMode="External"/><Relationship Id="rId32" Type="http://schemas.openxmlformats.org/officeDocument/2006/relationships/hyperlink" Target="https://www.sec.gov/files/litigation/complaints/2025/comp26239.pdf"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fintechlatvia.eu/news/the-future-of-financial-services-in-latvia-a-vision-for-innovation-connectivity-and-purpose-driven-growth/" TargetMode="External"/><Relationship Id="rId23" Type="http://schemas.openxmlformats.org/officeDocument/2006/relationships/hyperlink" Target="https://www.fca.org.uk/publication/consultation/cp25-3.pdf" TargetMode="External"/><Relationship Id="rId28" Type="http://schemas.openxmlformats.org/officeDocument/2006/relationships/hyperlink" Target="https://www.fca.org.uk/news/press-releases/fca-confiscates-over-500000-convicted-insider-dealer" TargetMode="External"/><Relationship Id="rId36" Type="http://schemas.openxmlformats.org/officeDocument/2006/relationships/fontTable" Target="fontTable.xml"/><Relationship Id="rId10" Type="http://schemas.openxmlformats.org/officeDocument/2006/relationships/hyperlink" Target="https://www.govinfo.gov/content/pkg/COMPS-1885/pdf/COMPS-1885.pdf" TargetMode="External"/><Relationship Id="rId19" Type="http://schemas.openxmlformats.org/officeDocument/2006/relationships/hyperlink" Target="https://www.cftc.gov/PressRoom/PressReleases/9040-25" TargetMode="External"/><Relationship Id="rId31" Type="http://schemas.openxmlformats.org/officeDocument/2006/relationships/hyperlink" Target="https://www.sec.gov/enforcement-litigation/litigation-releases/lr-26239" TargetMode="External"/><Relationship Id="rId4" Type="http://schemas.openxmlformats.org/officeDocument/2006/relationships/settings" Target="settings.xml"/><Relationship Id="rId9" Type="http://schemas.openxmlformats.org/officeDocument/2006/relationships/hyperlink" Target="https://www.sec.gov/files/rules/sro/nysearca/2025/34-102310.pdf" TargetMode="External"/><Relationship Id="rId14" Type="http://schemas.openxmlformats.org/officeDocument/2006/relationships/hyperlink" Target="https://eur-lex.europa.eu/legal-content/EN/TXT/PDF/?uri=CELEX:32022R2554" TargetMode="External"/><Relationship Id="rId22" Type="http://schemas.openxmlformats.org/officeDocument/2006/relationships/hyperlink" Target="https://www.fca.org.uk/publication/consultation/cp25-2.pdf" TargetMode="External"/><Relationship Id="rId27" Type="http://schemas.openxmlformats.org/officeDocument/2006/relationships/hyperlink" Target="https://www.legislation.gov.uk/ukpga/2002/29/contents?view=plain" TargetMode="External"/><Relationship Id="rId30" Type="http://schemas.openxmlformats.org/officeDocument/2006/relationships/hyperlink" Target="https://www.sec.gov/files/litigation/litreleases/2025/judg26239.pdf" TargetMode="External"/><Relationship Id="rId35" Type="http://schemas.openxmlformats.org/officeDocument/2006/relationships/hyperlink" Target="mailto:unsubscribe@charltonslaw.com?subject=unsubscribe%20-Hong%20Kong%20Law-" TargetMode="External"/><Relationship Id="rId8" Type="http://schemas.openxmlformats.org/officeDocument/2006/relationships/hyperlink" Target="https://www.sec.gov/newsroom/speeches-statements/peirce-journey-begins-020425"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72426-75CA-4075-A276-2DEDF58FE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13</Pages>
  <Words>7053</Words>
  <Characters>40205</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47164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Charlton</dc:creator>
  <cp:lastModifiedBy>Theresa Joy Lacatan</cp:lastModifiedBy>
  <cp:revision>254</cp:revision>
  <dcterms:created xsi:type="dcterms:W3CDTF">2024-12-09T10:39:00Z</dcterms:created>
  <dcterms:modified xsi:type="dcterms:W3CDTF">2025-02-07T06:41:00Z</dcterms:modified>
</cp:coreProperties>
</file>