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DFD8E" w14:textId="59FD876F" w:rsidR="00B4763A" w:rsidRPr="006874F7" w:rsidRDefault="00B4763A" w:rsidP="00B4763A">
      <w:pPr>
        <w:shd w:val="clear" w:color="auto" w:fill="000000"/>
        <w:spacing w:after="200"/>
        <w:jc w:val="center"/>
        <w:rPr>
          <w:rFonts w:ascii="Arial" w:eastAsia="Cambria" w:hAnsi="Arial" w:cs="Arial"/>
          <w:color w:val="FFFFFF"/>
          <w:lang w:val="en-GB"/>
        </w:rPr>
      </w:pPr>
      <w:r w:rsidRPr="006874F7">
        <w:rPr>
          <w:rFonts w:ascii="Arial" w:eastAsia="Cambria" w:hAnsi="Arial" w:cs="Arial"/>
          <w:color w:val="FFFFFF"/>
          <w:lang w:val="en-GB"/>
        </w:rPr>
        <w:t>Charltons</w:t>
      </w:r>
      <w:r w:rsidR="00840613" w:rsidRPr="006874F7">
        <w:rPr>
          <w:rFonts w:ascii="Arial" w:eastAsia="Cambria" w:hAnsi="Arial" w:cs="Arial"/>
          <w:color w:val="FFFFFF"/>
          <w:lang w:val="en-GB"/>
        </w:rPr>
        <w:t xml:space="preserve"> Quantum</w:t>
      </w:r>
      <w:r w:rsidR="00496C17">
        <w:rPr>
          <w:rFonts w:ascii="Arial" w:eastAsia="Cambria" w:hAnsi="Arial" w:cs="Arial"/>
          <w:color w:val="FFFFFF"/>
          <w:lang w:val="en-GB"/>
        </w:rPr>
        <w:t xml:space="preserve"> </w:t>
      </w:r>
      <w:r w:rsidR="00840613" w:rsidRPr="006874F7">
        <w:rPr>
          <w:rFonts w:ascii="Arial" w:eastAsia="Cambria" w:hAnsi="Arial" w:cs="Arial"/>
          <w:color w:val="FFFFFF"/>
          <w:lang w:val="en-GB"/>
        </w:rPr>
        <w:t xml:space="preserve">– </w:t>
      </w:r>
      <w:r w:rsidR="00EA4F77">
        <w:rPr>
          <w:rFonts w:ascii="Arial" w:eastAsia="Cambria" w:hAnsi="Arial" w:cs="Arial"/>
          <w:color w:val="FFFFFF"/>
          <w:lang w:val="en-GB"/>
        </w:rPr>
        <w:t>Quantum</w:t>
      </w:r>
      <w:r w:rsidR="00840613" w:rsidRPr="006874F7">
        <w:rPr>
          <w:rFonts w:ascii="Arial" w:eastAsia="Cambria" w:hAnsi="Arial" w:cs="Arial"/>
          <w:color w:val="FFFFFF"/>
          <w:lang w:val="en-GB"/>
        </w:rPr>
        <w:t xml:space="preserve"> Updates</w:t>
      </w:r>
      <w:r w:rsidRPr="006874F7">
        <w:rPr>
          <w:rFonts w:ascii="Arial" w:eastAsia="Cambria" w:hAnsi="Arial" w:cs="Arial"/>
          <w:color w:val="FFFFFF"/>
          <w:lang w:val="en-GB"/>
        </w:rPr>
        <w:t xml:space="preserve"> </w:t>
      </w:r>
      <w:r w:rsidR="00631E57">
        <w:rPr>
          <w:rFonts w:ascii="Arial" w:eastAsia="Cambria" w:hAnsi="Arial" w:cs="Arial"/>
          <w:color w:val="FFFFFF"/>
          <w:lang w:val="en-GB"/>
        </w:rPr>
        <w:t>4</w:t>
      </w:r>
      <w:r w:rsidR="003D49C2">
        <w:rPr>
          <w:rFonts w:ascii="Arial" w:eastAsia="Cambria" w:hAnsi="Arial" w:cs="Arial"/>
          <w:color w:val="FFFFFF"/>
          <w:lang w:val="en-GB"/>
        </w:rPr>
        <w:t>8</w:t>
      </w:r>
      <w:r w:rsidR="00496C17">
        <w:rPr>
          <w:rFonts w:ascii="Arial" w:eastAsia="Cambria" w:hAnsi="Arial" w:cs="Arial"/>
          <w:color w:val="FFFFFF"/>
          <w:lang w:val="en-GB"/>
        </w:rPr>
        <w:t xml:space="preserve"> </w:t>
      </w:r>
      <w:r w:rsidRPr="006874F7">
        <w:rPr>
          <w:rFonts w:ascii="Arial" w:eastAsia="Cambria" w:hAnsi="Arial" w:cs="Arial"/>
          <w:color w:val="FFFFFF"/>
          <w:lang w:val="en-GB"/>
        </w:rPr>
        <w:t xml:space="preserve">– </w:t>
      </w:r>
      <w:r w:rsidR="003D49C2">
        <w:rPr>
          <w:rFonts w:ascii="Arial" w:eastAsia="Cambria" w:hAnsi="Arial" w:cs="Arial"/>
          <w:color w:val="FFFFFF"/>
          <w:lang w:val="en-GB"/>
        </w:rPr>
        <w:t>June</w:t>
      </w:r>
      <w:r w:rsidRPr="006874F7">
        <w:rPr>
          <w:rFonts w:ascii="Arial" w:eastAsia="Cambria" w:hAnsi="Arial" w:cs="Arial"/>
          <w:color w:val="FFFFFF"/>
          <w:lang w:val="en-GB"/>
        </w:rPr>
        <w:t xml:space="preserve"> 202</w:t>
      </w:r>
      <w:r w:rsidR="00F97FC1">
        <w:rPr>
          <w:rFonts w:ascii="Arial" w:eastAsia="Cambria" w:hAnsi="Arial" w:cs="Arial"/>
          <w:color w:val="FFFFFF"/>
          <w:lang w:val="en-GB"/>
        </w:rPr>
        <w:t>5</w:t>
      </w:r>
    </w:p>
    <w:p w14:paraId="5EF4FE96" w14:textId="20697FF7" w:rsidR="00B4763A" w:rsidRPr="005B0584" w:rsidRDefault="005B0584" w:rsidP="00B4763A">
      <w:pPr>
        <w:spacing w:after="200"/>
        <w:jc w:val="center"/>
        <w:rPr>
          <w:rStyle w:val="Hyperlink"/>
          <w:rFonts w:ascii="Arial" w:eastAsia="Cambria" w:hAnsi="Arial" w:cs="Arial"/>
          <w:sz w:val="28"/>
          <w:szCs w:val="24"/>
          <w:lang w:val="en-GB"/>
        </w:rPr>
      </w:pPr>
      <w:r>
        <w:rPr>
          <w:rFonts w:ascii="Arial" w:eastAsia="Cambria" w:hAnsi="Arial" w:cs="Arial"/>
          <w:sz w:val="28"/>
          <w:szCs w:val="24"/>
          <w:lang w:val="en-GB"/>
        </w:rPr>
        <w:fldChar w:fldCharType="begin"/>
      </w:r>
      <w:r w:rsidR="00DA268F">
        <w:rPr>
          <w:rFonts w:ascii="Arial" w:eastAsia="Cambria" w:hAnsi="Arial" w:cs="Arial"/>
          <w:sz w:val="28"/>
          <w:szCs w:val="24"/>
          <w:lang w:val="en-GB"/>
        </w:rPr>
        <w:instrText>HYPERLINK "https://charltonsquantum.com/quantum-updates-48-us-sec-proceedings-on-vaneck-bitcoin-and-ethereum-trusts-proposal/"</w:instrText>
      </w:r>
      <w:r>
        <w:rPr>
          <w:rFonts w:ascii="Arial" w:eastAsia="Cambria" w:hAnsi="Arial" w:cs="Arial"/>
          <w:sz w:val="28"/>
          <w:szCs w:val="24"/>
          <w:lang w:val="en-GB"/>
        </w:rPr>
      </w:r>
      <w:r>
        <w:rPr>
          <w:rFonts w:ascii="Arial" w:eastAsia="Cambria" w:hAnsi="Arial" w:cs="Arial"/>
          <w:sz w:val="28"/>
          <w:szCs w:val="24"/>
          <w:lang w:val="en-GB"/>
        </w:rPr>
        <w:fldChar w:fldCharType="separate"/>
      </w:r>
      <w:r w:rsidR="00B4763A" w:rsidRPr="005B0584">
        <w:rPr>
          <w:rStyle w:val="Hyperlink"/>
          <w:rFonts w:ascii="Arial" w:eastAsia="Cambria" w:hAnsi="Arial" w:cs="Arial"/>
          <w:sz w:val="28"/>
          <w:szCs w:val="24"/>
          <w:lang w:val="en-GB"/>
        </w:rPr>
        <w:t>Online version</w:t>
      </w:r>
    </w:p>
    <w:p w14:paraId="74E466DB" w14:textId="1D76AFA4" w:rsidR="00E4055D" w:rsidRPr="00B004D8" w:rsidRDefault="005B0584" w:rsidP="00B004D8">
      <w:pPr>
        <w:spacing w:after="200"/>
        <w:rPr>
          <w:b/>
          <w:bCs/>
          <w:color w:val="FF6E00"/>
          <w:lang w:val="en-PH"/>
        </w:rPr>
      </w:pPr>
      <w:r>
        <w:rPr>
          <w:rFonts w:ascii="Arial" w:eastAsia="Cambria" w:hAnsi="Arial" w:cs="Arial"/>
          <w:sz w:val="28"/>
          <w:szCs w:val="24"/>
          <w:lang w:val="en-GB"/>
        </w:rPr>
        <w:fldChar w:fldCharType="end"/>
      </w:r>
    </w:p>
    <w:p w14:paraId="0A4ABBCA" w14:textId="372D7F73" w:rsidR="00E4055D" w:rsidRPr="00EC4C57" w:rsidRDefault="005E12BF" w:rsidP="00812AEA">
      <w:pPr>
        <w:jc w:val="both"/>
        <w:rPr>
          <w:b/>
          <w:bCs/>
          <w:color w:val="FF6E00"/>
          <w:lang w:val="en-PH"/>
        </w:rPr>
      </w:pPr>
      <w:r w:rsidRPr="005E12BF">
        <w:rPr>
          <w:b/>
          <w:bCs/>
          <w:color w:val="FF6E00"/>
          <w:lang w:val="en-PH"/>
        </w:rPr>
        <w:t>US SEC Opens Proceedings on VanEck Bitcoin and Ethereum Trusts Proposal to Permit In-Kind Creations and Redemptions</w:t>
      </w:r>
    </w:p>
    <w:p w14:paraId="192B0EF5" w14:textId="77777777" w:rsidR="005E12BF" w:rsidRPr="005E12BF" w:rsidRDefault="005E12BF" w:rsidP="00812AEA">
      <w:pPr>
        <w:jc w:val="both"/>
        <w:rPr>
          <w:rFonts w:eastAsia="Times New Roman"/>
          <w:bCs/>
          <w:lang w:val="en-PH"/>
        </w:rPr>
      </w:pPr>
      <w:r w:rsidRPr="005E12BF">
        <w:rPr>
          <w:rFonts w:eastAsia="Times New Roman"/>
          <w:bCs/>
          <w:lang w:val="en-PH"/>
        </w:rPr>
        <w:t>On 2 June 2025, the United States Securities and Exchange Commission (</w:t>
      </w:r>
      <w:r w:rsidRPr="005E12BF">
        <w:rPr>
          <w:rFonts w:eastAsia="Times New Roman"/>
          <w:b/>
          <w:bCs/>
          <w:lang w:val="en-PH"/>
        </w:rPr>
        <w:t>US SEC</w:t>
      </w:r>
      <w:r w:rsidRPr="005E12BF">
        <w:rPr>
          <w:rFonts w:eastAsia="Times New Roman"/>
          <w:bCs/>
          <w:lang w:val="en-PH"/>
        </w:rPr>
        <w:t>) published an </w:t>
      </w:r>
      <w:hyperlink r:id="rId8" w:tgtFrame="_blank" w:history="1">
        <w:r w:rsidRPr="005E12BF">
          <w:rPr>
            <w:rStyle w:val="Hyperlink"/>
            <w:rFonts w:eastAsia="Times New Roman"/>
            <w:bCs/>
            <w:color w:val="FF6E00"/>
            <w:u w:val="none"/>
            <w:lang w:val="en-PH"/>
          </w:rPr>
          <w:t>Order instituting proceedings</w:t>
        </w:r>
      </w:hyperlink>
      <w:r w:rsidRPr="005E12BF">
        <w:rPr>
          <w:rFonts w:eastAsia="Times New Roman"/>
          <w:bCs/>
          <w:lang w:val="en-PH"/>
        </w:rPr>
        <w:t> to determine whether to approve or disapprove a proposed rule change submitted by Cboe BZX Exchange, Inc. The proposal seeks to amend the listing terms of the VanEck Bitcoin Trust and the VanEck Ethereum Trust to allow in-kind creations and redemptions under BZX Rule 14.11(e)(4), which governs commodity-based trust shares.</w:t>
      </w:r>
    </w:p>
    <w:p w14:paraId="23E9849A" w14:textId="77777777" w:rsidR="005E12BF" w:rsidRPr="005E12BF" w:rsidRDefault="005E12BF" w:rsidP="00812AEA">
      <w:pPr>
        <w:jc w:val="both"/>
        <w:rPr>
          <w:rFonts w:eastAsia="Times New Roman"/>
          <w:bCs/>
          <w:lang w:val="en-PH"/>
        </w:rPr>
      </w:pPr>
      <w:r w:rsidRPr="005E12BF">
        <w:rPr>
          <w:rFonts w:eastAsia="Times New Roman"/>
          <w:bCs/>
          <w:lang w:val="en-PH"/>
        </w:rPr>
        <w:t>The proposed rule change was filed by the exchange on 19 February 2025 under Section 19(b)(1) of the United States </w:t>
      </w:r>
      <w:hyperlink r:id="rId9" w:tgtFrame="_blank" w:history="1">
        <w:r w:rsidRPr="005E12BF">
          <w:rPr>
            <w:rStyle w:val="Hyperlink"/>
            <w:rFonts w:eastAsia="Times New Roman"/>
            <w:bCs/>
            <w:color w:val="FF6E00"/>
            <w:u w:val="none"/>
            <w:lang w:val="en-PH"/>
          </w:rPr>
          <w:t>Securities Exchange Act of 1934</w:t>
        </w:r>
      </w:hyperlink>
      <w:r w:rsidRPr="005E12BF">
        <w:rPr>
          <w:rFonts w:eastAsia="Times New Roman"/>
          <w:bCs/>
          <w:lang w:val="en-PH"/>
        </w:rPr>
        <w:t> and United States SEC </w:t>
      </w:r>
      <w:hyperlink r:id="rId10" w:tgtFrame="_blank" w:history="1">
        <w:r w:rsidRPr="005E12BF">
          <w:rPr>
            <w:rStyle w:val="Hyperlink"/>
            <w:rFonts w:eastAsia="Times New Roman"/>
            <w:bCs/>
            <w:color w:val="FF6E00"/>
            <w:u w:val="none"/>
            <w:lang w:val="en-PH"/>
          </w:rPr>
          <w:t>Rule 19b-4</w:t>
        </w:r>
      </w:hyperlink>
      <w:r w:rsidRPr="005E12BF">
        <w:rPr>
          <w:rFonts w:eastAsia="Times New Roman"/>
          <w:bCs/>
          <w:lang w:val="en-PH"/>
        </w:rPr>
        <w:t xml:space="preserve">. It was published in the Federal Register on 5 March 2025. The US SEC initially extended the decision timeline to </w:t>
      </w:r>
      <w:proofErr w:type="gramStart"/>
      <w:r w:rsidRPr="005E12BF">
        <w:rPr>
          <w:rFonts w:eastAsia="Times New Roman"/>
          <w:bCs/>
          <w:lang w:val="en-PH"/>
        </w:rPr>
        <w:t>3 June 2025, and</w:t>
      </w:r>
      <w:proofErr w:type="gramEnd"/>
      <w:r w:rsidRPr="005E12BF">
        <w:rPr>
          <w:rFonts w:eastAsia="Times New Roman"/>
          <w:bCs/>
          <w:lang w:val="en-PH"/>
        </w:rPr>
        <w:t xml:space="preserve"> has now opened formal proceedings under Section 19(b)(2)(B) of the same Act to allow for further analysis.</w:t>
      </w:r>
    </w:p>
    <w:p w14:paraId="5090D93E" w14:textId="77777777" w:rsidR="005E12BF" w:rsidRPr="005E12BF" w:rsidRDefault="005E12BF" w:rsidP="00812AEA">
      <w:pPr>
        <w:jc w:val="both"/>
        <w:rPr>
          <w:rFonts w:eastAsia="Times New Roman"/>
          <w:bCs/>
          <w:lang w:val="en-PH"/>
        </w:rPr>
      </w:pPr>
      <w:r w:rsidRPr="005E12BF">
        <w:rPr>
          <w:rFonts w:eastAsia="Times New Roman"/>
          <w:bCs/>
          <w:lang w:val="en-PH"/>
        </w:rPr>
        <w:t>According to the proposal, the exchange intends to amend the operational mechanics of the VanEck Bitcoin Trust and VanEck Ethereum Trust to allow market participants to create and redeem shares in-kind, meaning with bitcoin or ether rather than cash. All other representations approved by the US SEC when these trusts were originally listed would remain unchanged and continue to serve as ongoing listing conditions.</w:t>
      </w:r>
    </w:p>
    <w:p w14:paraId="5FEAFC6F" w14:textId="2548FB89" w:rsidR="005E12BF" w:rsidRPr="005E12BF" w:rsidRDefault="005E12BF" w:rsidP="00812AEA">
      <w:pPr>
        <w:jc w:val="both"/>
        <w:rPr>
          <w:rFonts w:eastAsia="Times New Roman"/>
          <w:bCs/>
          <w:lang w:val="en-PH"/>
        </w:rPr>
      </w:pPr>
      <w:r w:rsidRPr="005E12BF">
        <w:rPr>
          <w:rFonts w:eastAsia="Times New Roman"/>
          <w:bCs/>
          <w:lang w:val="en-PH"/>
        </w:rPr>
        <w:t xml:space="preserve">The US SEC clarified that instituting proceedings does not indicate any conclusion on the merits of the proposal. The review is being initiated to determine whether the proposed rule change is consistent with Section 6(b)(5) of the United States </w:t>
      </w:r>
      <w:hyperlink r:id="rId11" w:history="1">
        <w:r w:rsidRPr="00080AA7">
          <w:rPr>
            <w:rStyle w:val="Hyperlink"/>
            <w:rFonts w:eastAsia="Times New Roman"/>
            <w:bCs/>
            <w:color w:val="FF6E00"/>
            <w:u w:val="none"/>
            <w:lang w:val="en-PH"/>
          </w:rPr>
          <w:t>Securities Exchange Act of 1934</w:t>
        </w:r>
      </w:hyperlink>
      <w:r w:rsidRPr="005E12BF">
        <w:rPr>
          <w:rFonts w:eastAsia="Times New Roman"/>
          <w:bCs/>
          <w:lang w:val="en-PH"/>
        </w:rPr>
        <w:t>. This provision requires that exchange rules be designed to prevent fraudulent and manipulative practices, ensure fair trading, support the mechanism of a free and open market, and protect investors and the public interest.</w:t>
      </w:r>
    </w:p>
    <w:p w14:paraId="54E31127" w14:textId="77777777" w:rsidR="005E12BF" w:rsidRPr="005E12BF" w:rsidRDefault="005E12BF" w:rsidP="00812AEA">
      <w:pPr>
        <w:jc w:val="both"/>
        <w:rPr>
          <w:rFonts w:eastAsia="Times New Roman"/>
          <w:bCs/>
          <w:lang w:val="en-PH"/>
        </w:rPr>
      </w:pPr>
      <w:r w:rsidRPr="005E12BF">
        <w:rPr>
          <w:rFonts w:eastAsia="Times New Roman"/>
          <w:bCs/>
          <w:lang w:val="en-PH"/>
        </w:rPr>
        <w:t>The US SEC also invites public comments on whether the proposed rule change complies with applicable law and regulations. Submissions may be made electronically or by post and must reference file number SR-CboeBZX-2025-031 till 21 days after published in the Federal Register. Rebuttal comments may also be submitted till 35 days after published in the Federal Register. The US SEC will review all relevant materials before issuing its final determination.</w:t>
      </w:r>
    </w:p>
    <w:p w14:paraId="2615F56A" w14:textId="77777777" w:rsidR="005E12BF" w:rsidRPr="005E12BF" w:rsidRDefault="005E12BF" w:rsidP="00812AEA">
      <w:pPr>
        <w:jc w:val="both"/>
        <w:rPr>
          <w:rFonts w:eastAsia="Times New Roman"/>
          <w:bCs/>
          <w:lang w:val="en-PH"/>
        </w:rPr>
      </w:pPr>
      <w:r w:rsidRPr="005E12BF">
        <w:rPr>
          <w:rFonts w:eastAsia="Times New Roman"/>
          <w:bCs/>
          <w:lang w:val="en-PH"/>
        </w:rPr>
        <w:t>(Source: </w:t>
      </w:r>
      <w:hyperlink r:id="rId12" w:tgtFrame="_blank" w:history="1">
        <w:r w:rsidRPr="005E12BF">
          <w:rPr>
            <w:rStyle w:val="Hyperlink"/>
            <w:rFonts w:eastAsia="Times New Roman"/>
            <w:bCs/>
            <w:color w:val="FF6E00"/>
            <w:lang w:val="en-PH"/>
          </w:rPr>
          <w:t>https://www.sec.gov/files/rules/sro/cboebzx/2025/34-103164.pdf</w:t>
        </w:r>
      </w:hyperlink>
      <w:r w:rsidRPr="005E12BF">
        <w:rPr>
          <w:rFonts w:eastAsia="Times New Roman"/>
          <w:bCs/>
          <w:lang w:val="en-PH"/>
        </w:rPr>
        <w:t>)</w:t>
      </w:r>
    </w:p>
    <w:p w14:paraId="2BE4F9AA" w14:textId="77777777" w:rsidR="00E4055D" w:rsidRDefault="00E4055D" w:rsidP="00812AEA">
      <w:pPr>
        <w:jc w:val="both"/>
        <w:rPr>
          <w:rFonts w:eastAsia="Times New Roman"/>
          <w:bCs/>
          <w:lang w:val="en-PH"/>
        </w:rPr>
      </w:pPr>
    </w:p>
    <w:p w14:paraId="203D811B" w14:textId="53ACF8C9" w:rsidR="00E4055D" w:rsidRPr="00EC4C57" w:rsidRDefault="001C79AD" w:rsidP="00812AEA">
      <w:pPr>
        <w:jc w:val="both"/>
        <w:rPr>
          <w:b/>
          <w:bCs/>
          <w:color w:val="FF6E00"/>
          <w:lang w:val="en-PH"/>
        </w:rPr>
      </w:pPr>
      <w:r w:rsidRPr="001C79AD">
        <w:rPr>
          <w:b/>
          <w:bCs/>
          <w:color w:val="FF6E00"/>
          <w:lang w:val="en-PH"/>
        </w:rPr>
        <w:t>US SEC Initiates Proceedings on WisdomTree Bitcoin Fund Proposal to Permit In-Kind Creations and Redemptions</w:t>
      </w:r>
    </w:p>
    <w:p w14:paraId="6706DC51" w14:textId="77777777" w:rsidR="001C79AD" w:rsidRPr="001C79AD" w:rsidRDefault="001C79AD" w:rsidP="00812AEA">
      <w:pPr>
        <w:jc w:val="both"/>
        <w:rPr>
          <w:rFonts w:eastAsia="Times New Roman"/>
          <w:bCs/>
          <w:lang w:val="en-PH"/>
        </w:rPr>
      </w:pPr>
      <w:r w:rsidRPr="001C79AD">
        <w:rPr>
          <w:rFonts w:eastAsia="Times New Roman"/>
          <w:bCs/>
          <w:lang w:val="en-PH"/>
        </w:rPr>
        <w:t>On 2 June 2025, the United States Securities and Exchange Commission (</w:t>
      </w:r>
      <w:r w:rsidRPr="001C79AD">
        <w:rPr>
          <w:rFonts w:eastAsia="Times New Roman"/>
          <w:b/>
          <w:bCs/>
          <w:lang w:val="en-PH"/>
        </w:rPr>
        <w:t>US SEC</w:t>
      </w:r>
      <w:r w:rsidRPr="001C79AD">
        <w:rPr>
          <w:rFonts w:eastAsia="Times New Roman"/>
          <w:bCs/>
          <w:lang w:val="en-PH"/>
        </w:rPr>
        <w:t>) published an </w:t>
      </w:r>
      <w:hyperlink r:id="rId13" w:tgtFrame="_blank" w:history="1">
        <w:r w:rsidRPr="001C79AD">
          <w:rPr>
            <w:rStyle w:val="Hyperlink"/>
            <w:rFonts w:eastAsia="Times New Roman"/>
            <w:bCs/>
            <w:color w:val="FF6E00"/>
            <w:u w:val="none"/>
            <w:lang w:val="en-PH"/>
          </w:rPr>
          <w:t>Order instituting proceedings</w:t>
        </w:r>
      </w:hyperlink>
      <w:r w:rsidRPr="001C79AD">
        <w:rPr>
          <w:rFonts w:eastAsia="Times New Roman"/>
          <w:bCs/>
          <w:lang w:val="en-PH"/>
        </w:rPr>
        <w:t xml:space="preserve"> to determine whether to approve or disapprove a proposed rule change filed by Cboe BZX Exchange, Inc. The proposed rule change seeks to amend the terms governing the listing and </w:t>
      </w:r>
      <w:r w:rsidRPr="001C79AD">
        <w:rPr>
          <w:rFonts w:eastAsia="Times New Roman"/>
          <w:bCs/>
          <w:lang w:val="en-PH"/>
        </w:rPr>
        <w:lastRenderedPageBreak/>
        <w:t>trading of the WisdomTree Bitcoin Fund under BZX Rule 14.11(e)(4), to allow the fund to conduct in-kind creations and redemptions of bitcoin.</w:t>
      </w:r>
    </w:p>
    <w:p w14:paraId="0D3F0D29" w14:textId="7EF2F3D1" w:rsidR="001C79AD" w:rsidRPr="001C79AD" w:rsidRDefault="001C79AD" w:rsidP="00812AEA">
      <w:pPr>
        <w:jc w:val="both"/>
        <w:rPr>
          <w:rFonts w:eastAsia="Times New Roman"/>
          <w:bCs/>
          <w:lang w:val="en-PH"/>
        </w:rPr>
      </w:pPr>
      <w:r w:rsidRPr="001C79AD">
        <w:rPr>
          <w:rFonts w:eastAsia="Times New Roman"/>
          <w:bCs/>
          <w:lang w:val="en-PH"/>
        </w:rPr>
        <w:t xml:space="preserve">The proposed rule change was originally submitted by Cboe BZX Exchange, Inc. on 20 February 2025, pursuant to Section 19(b)(1) of the United States </w:t>
      </w:r>
      <w:hyperlink r:id="rId14" w:history="1">
        <w:r w:rsidRPr="00EB4EAE">
          <w:rPr>
            <w:rStyle w:val="Hyperlink"/>
            <w:rFonts w:eastAsia="Times New Roman"/>
            <w:bCs/>
            <w:color w:val="FF6E00"/>
            <w:u w:val="none"/>
            <w:lang w:val="en-PH"/>
          </w:rPr>
          <w:t>Securities Exchange Act of 1934</w:t>
        </w:r>
      </w:hyperlink>
      <w:r w:rsidRPr="001C79AD">
        <w:rPr>
          <w:rFonts w:eastAsia="Times New Roman"/>
          <w:bCs/>
          <w:lang w:val="en-PH"/>
        </w:rPr>
        <w:t xml:space="preserve"> and United States SEC </w:t>
      </w:r>
      <w:hyperlink r:id="rId15" w:history="1">
        <w:r w:rsidRPr="00626BF5">
          <w:rPr>
            <w:rStyle w:val="Hyperlink"/>
            <w:rFonts w:eastAsia="Times New Roman"/>
            <w:bCs/>
            <w:color w:val="FF6E00"/>
            <w:u w:val="none"/>
            <w:lang w:val="en-PH"/>
          </w:rPr>
          <w:t>Rule 19b-4</w:t>
        </w:r>
      </w:hyperlink>
      <w:r w:rsidRPr="001C79AD">
        <w:rPr>
          <w:rFonts w:eastAsia="Times New Roman"/>
          <w:bCs/>
          <w:lang w:val="en-PH"/>
        </w:rPr>
        <w:t>. The US SEC published the proposal for public comment in the Federal Register on 5 March 2025. On 14 April 2025, the US SEC extended the deadline to decide on the proposal until 3 June 2025. As of 02 June 2025, the US SEC on 2 June 2025, instituted proceedings under Section 19(b)(2)(B) of the United States </w:t>
      </w:r>
      <w:hyperlink r:id="rId16" w:tgtFrame="_blank" w:history="1">
        <w:r w:rsidRPr="001C79AD">
          <w:rPr>
            <w:rStyle w:val="Hyperlink"/>
            <w:rFonts w:eastAsia="Times New Roman"/>
            <w:bCs/>
            <w:color w:val="FF6E00"/>
            <w:u w:val="none"/>
            <w:lang w:val="en-PH"/>
          </w:rPr>
          <w:t>Securities Exchange Act of 1934</w:t>
        </w:r>
      </w:hyperlink>
      <w:r w:rsidRPr="001C79AD">
        <w:rPr>
          <w:rFonts w:eastAsia="Times New Roman"/>
          <w:bCs/>
          <w:lang w:val="en-PH"/>
        </w:rPr>
        <w:t> to allow further analysis of the legal and policy considerations raised by the amendment.</w:t>
      </w:r>
    </w:p>
    <w:p w14:paraId="46E8896E" w14:textId="77777777" w:rsidR="001C79AD" w:rsidRPr="001C79AD" w:rsidRDefault="001C79AD" w:rsidP="00812AEA">
      <w:pPr>
        <w:jc w:val="both"/>
        <w:rPr>
          <w:rFonts w:eastAsia="Times New Roman"/>
          <w:bCs/>
          <w:lang w:val="en-PH"/>
        </w:rPr>
      </w:pPr>
      <w:r w:rsidRPr="001C79AD">
        <w:rPr>
          <w:rFonts w:eastAsia="Times New Roman"/>
          <w:bCs/>
          <w:lang w:val="en-PH"/>
        </w:rPr>
        <w:t>The proposal specifically requests a change in the creation and redemption mechanics of the WisdomTree Bitcoin Fund to permit in-kind transactions involving bitcoin, instead of relying solely on cash-based settlements. According to the exchange, all other conditions and representations that governed the US SEC’s prior approval of the WisdomTree Bitcoin Fund on 10 January 2024 will remain unchanged and continue to apply as ongoing listing requirements.</w:t>
      </w:r>
    </w:p>
    <w:p w14:paraId="61ED08E4" w14:textId="1445335E" w:rsidR="001C79AD" w:rsidRPr="001C79AD" w:rsidRDefault="001C79AD" w:rsidP="00812AEA">
      <w:pPr>
        <w:jc w:val="both"/>
        <w:rPr>
          <w:rFonts w:eastAsia="Times New Roman"/>
          <w:bCs/>
          <w:lang w:val="en-PH"/>
        </w:rPr>
      </w:pPr>
      <w:r w:rsidRPr="001C79AD">
        <w:rPr>
          <w:rFonts w:eastAsia="Times New Roman"/>
          <w:bCs/>
          <w:lang w:val="en-PH"/>
        </w:rPr>
        <w:t xml:space="preserve">Instituting proceedings does not indicate any conclusion on the merits of the proposal by US SEC. The purpose of the proceedings is to evaluate whether the proposed rule change is consistent with Section 6(b)(5) of the United States </w:t>
      </w:r>
      <w:hyperlink r:id="rId17" w:history="1">
        <w:r w:rsidRPr="00080AA7">
          <w:rPr>
            <w:rStyle w:val="Hyperlink"/>
            <w:rFonts w:eastAsia="Times New Roman"/>
            <w:bCs/>
            <w:color w:val="FF6E00"/>
            <w:u w:val="none"/>
            <w:lang w:val="en-PH"/>
          </w:rPr>
          <w:t>Securities Exchange Act of 1934</w:t>
        </w:r>
      </w:hyperlink>
      <w:r w:rsidRPr="001C79AD">
        <w:rPr>
          <w:rFonts w:eastAsia="Times New Roman"/>
          <w:bCs/>
          <w:lang w:val="en-PH"/>
        </w:rPr>
        <w:t>. This section requires that the rules of a national securities exchange be designed to prevent fraudulent and manipulative acts and practices, promote just and equitable principles of trade, remove impediments to a free and open market, and protect investors and the public interest.</w:t>
      </w:r>
    </w:p>
    <w:p w14:paraId="5D7AFB0D" w14:textId="3BC8D42B" w:rsidR="001C79AD" w:rsidRPr="001C79AD" w:rsidRDefault="001C79AD" w:rsidP="00812AEA">
      <w:pPr>
        <w:jc w:val="both"/>
        <w:rPr>
          <w:rFonts w:eastAsia="Times New Roman"/>
          <w:bCs/>
          <w:lang w:val="en-PH"/>
        </w:rPr>
      </w:pPr>
      <w:r w:rsidRPr="001C79AD">
        <w:rPr>
          <w:rFonts w:eastAsia="Times New Roman"/>
          <w:bCs/>
          <w:lang w:val="en-PH"/>
        </w:rPr>
        <w:t xml:space="preserve">Interested persons are invited to submit written comments on the proposed rule change, including views, data, and arguments addressing whether it is consistent with Section 6(b)(5) or any other provision of the United States </w:t>
      </w:r>
      <w:hyperlink r:id="rId18" w:history="1">
        <w:r w:rsidRPr="00080AA7">
          <w:rPr>
            <w:rStyle w:val="Hyperlink"/>
            <w:rFonts w:eastAsia="Times New Roman"/>
            <w:bCs/>
            <w:color w:val="FF6E00"/>
            <w:u w:val="none"/>
            <w:lang w:val="en-PH"/>
          </w:rPr>
          <w:t>Securities Exchange Act of 1934</w:t>
        </w:r>
      </w:hyperlink>
      <w:r w:rsidRPr="001C79AD">
        <w:rPr>
          <w:rFonts w:eastAsia="Times New Roman"/>
          <w:bCs/>
          <w:lang w:val="en-PH"/>
        </w:rPr>
        <w:t>. Rebuttal comments may also be submitted in accordance with the timeframes to be published in the Federal Register. The US SEC has not scheduled an oral presentation of views but will consider requests for one under United States </w:t>
      </w:r>
      <w:hyperlink r:id="rId19" w:tgtFrame="_blank" w:history="1">
        <w:r w:rsidRPr="001C79AD">
          <w:rPr>
            <w:rStyle w:val="Hyperlink"/>
            <w:rFonts w:eastAsia="Times New Roman"/>
            <w:bCs/>
            <w:color w:val="FF6E00"/>
            <w:u w:val="none"/>
            <w:lang w:val="en-PH"/>
          </w:rPr>
          <w:t>Rule 19b-4</w:t>
        </w:r>
      </w:hyperlink>
      <w:r w:rsidRPr="001C79AD">
        <w:rPr>
          <w:rFonts w:eastAsia="Times New Roman"/>
          <w:bCs/>
          <w:lang w:val="en-PH"/>
        </w:rPr>
        <w:t>.</w:t>
      </w:r>
    </w:p>
    <w:p w14:paraId="51FE14F6" w14:textId="77777777" w:rsidR="001C79AD" w:rsidRPr="001C79AD" w:rsidRDefault="001C79AD" w:rsidP="00812AEA">
      <w:pPr>
        <w:jc w:val="both"/>
        <w:rPr>
          <w:rFonts w:eastAsia="Times New Roman"/>
          <w:bCs/>
          <w:lang w:val="en-PH"/>
        </w:rPr>
      </w:pPr>
      <w:r w:rsidRPr="001C79AD">
        <w:rPr>
          <w:rFonts w:eastAsia="Times New Roman"/>
          <w:bCs/>
          <w:lang w:val="en-PH"/>
        </w:rPr>
        <w:t>All submissions/comments should refer to file number SR-CboeBZX-2025-033 and may be submitted via the official US SEC website or by email or post. The order remains open to public participation and further comment until the designated period of 21 days is reached.</w:t>
      </w:r>
    </w:p>
    <w:p w14:paraId="1B770925" w14:textId="77777777" w:rsidR="001C79AD" w:rsidRPr="001C79AD" w:rsidRDefault="001C79AD" w:rsidP="00812AEA">
      <w:pPr>
        <w:jc w:val="both"/>
        <w:rPr>
          <w:rFonts w:eastAsia="Times New Roman"/>
          <w:bCs/>
          <w:lang w:val="en-PH"/>
        </w:rPr>
      </w:pPr>
      <w:r w:rsidRPr="001C79AD">
        <w:rPr>
          <w:rFonts w:eastAsia="Times New Roman"/>
          <w:bCs/>
          <w:lang w:val="en-PH"/>
        </w:rPr>
        <w:t>(Source: </w:t>
      </w:r>
      <w:hyperlink r:id="rId20" w:tgtFrame="_blank" w:history="1">
        <w:r w:rsidRPr="001C79AD">
          <w:rPr>
            <w:rStyle w:val="Hyperlink"/>
            <w:rFonts w:eastAsia="Times New Roman"/>
            <w:bCs/>
            <w:color w:val="FF6E00"/>
            <w:lang w:val="en-PH"/>
          </w:rPr>
          <w:t>https://www.sec.gov/files/rules/sro/cboebzx/2025/34-103165.pdf</w:t>
        </w:r>
      </w:hyperlink>
      <w:r w:rsidRPr="001C79AD">
        <w:rPr>
          <w:rFonts w:eastAsia="Times New Roman"/>
          <w:bCs/>
          <w:lang w:val="en-PH"/>
        </w:rPr>
        <w:t>)</w:t>
      </w:r>
    </w:p>
    <w:p w14:paraId="25A40416" w14:textId="77777777" w:rsidR="00E4055D" w:rsidRDefault="00E4055D" w:rsidP="00812AEA">
      <w:pPr>
        <w:jc w:val="both"/>
        <w:rPr>
          <w:rFonts w:eastAsia="Times New Roman"/>
          <w:bCs/>
          <w:lang w:val="en-PH"/>
        </w:rPr>
      </w:pPr>
    </w:p>
    <w:p w14:paraId="4C8BF0FB" w14:textId="1815DAB2" w:rsidR="00E4055D" w:rsidRPr="00EC4C57" w:rsidRDefault="009D584A" w:rsidP="00812AEA">
      <w:pPr>
        <w:jc w:val="both"/>
        <w:rPr>
          <w:b/>
          <w:bCs/>
          <w:color w:val="FF6E00"/>
          <w:lang w:val="en-PH"/>
        </w:rPr>
      </w:pPr>
      <w:r w:rsidRPr="009D584A">
        <w:rPr>
          <w:b/>
          <w:bCs/>
          <w:color w:val="FF6E00"/>
          <w:lang w:val="en-PH"/>
        </w:rPr>
        <w:t>US SEC Appoints Natalia Díez Riggin as Senior Advisor and Director of Legislative and Intergovernmental Affairs</w:t>
      </w:r>
    </w:p>
    <w:p w14:paraId="3C8F235E" w14:textId="77777777" w:rsidR="009D584A" w:rsidRPr="009D584A" w:rsidRDefault="009D584A" w:rsidP="00812AEA">
      <w:pPr>
        <w:jc w:val="both"/>
        <w:rPr>
          <w:rFonts w:eastAsia="Times New Roman"/>
          <w:bCs/>
          <w:lang w:val="en-PH"/>
        </w:rPr>
      </w:pPr>
      <w:r w:rsidRPr="009D584A">
        <w:rPr>
          <w:rFonts w:eastAsia="Times New Roman"/>
          <w:bCs/>
          <w:lang w:val="en-PH"/>
        </w:rPr>
        <w:t>On 2 June 2025, the United States Securities and Exchange Commission (</w:t>
      </w:r>
      <w:r w:rsidRPr="009D584A">
        <w:rPr>
          <w:rFonts w:eastAsia="Times New Roman"/>
          <w:b/>
          <w:bCs/>
          <w:lang w:val="en-PH"/>
        </w:rPr>
        <w:t>US SEC</w:t>
      </w:r>
      <w:r w:rsidRPr="009D584A">
        <w:rPr>
          <w:rFonts w:eastAsia="Times New Roman"/>
          <w:bCs/>
          <w:lang w:val="en-PH"/>
        </w:rPr>
        <w:t>) appointed Natalia Díez Riggin as the Senior Advisor and Director of its Office of Legislative and Intergovernmental Affairs. Ms. Riggin had been serving as Acting Director since January 2025 and will now permanently lead the US SEC’s outreach and liaison efforts with Congress, federal departments, and state governments.</w:t>
      </w:r>
    </w:p>
    <w:p w14:paraId="5A4CABDB" w14:textId="77777777" w:rsidR="009D584A" w:rsidRPr="009D584A" w:rsidRDefault="009D584A" w:rsidP="00812AEA">
      <w:pPr>
        <w:jc w:val="both"/>
        <w:rPr>
          <w:rFonts w:eastAsia="Times New Roman"/>
          <w:bCs/>
          <w:lang w:val="en-PH"/>
        </w:rPr>
      </w:pPr>
      <w:r w:rsidRPr="009D584A">
        <w:rPr>
          <w:rFonts w:eastAsia="Times New Roman"/>
          <w:bCs/>
          <w:lang w:val="en-PH"/>
        </w:rPr>
        <w:t xml:space="preserve">Ms. Riggin brings legislative experience, having most recently served as a senior professional staff member on the U.S. Senate Committee on Banking, Housing, and Urban Affairs for Chairman Tim Scott of South Carolina. She has also held positions as deputy legislative director for U.S. Senator John Kennedy of </w:t>
      </w:r>
      <w:r w:rsidRPr="009D584A">
        <w:rPr>
          <w:rFonts w:eastAsia="Times New Roman"/>
          <w:bCs/>
          <w:lang w:val="en-PH"/>
        </w:rPr>
        <w:lastRenderedPageBreak/>
        <w:t>Louisiana and staff director for the Senate Banking Committee’s Economic Policy Subcommittee. Earlier roles included serving as policy aide to U.S. Senators Mike Enzi of Wyoming and Mark Kirk of Illinois. A graduate of the University of Illinois Chicago, Ms. Riggin holds a Bachelor of Arts degree in political science and history.</w:t>
      </w:r>
    </w:p>
    <w:p w14:paraId="4A69E12D" w14:textId="77777777" w:rsidR="009D584A" w:rsidRPr="009D584A" w:rsidRDefault="009D584A" w:rsidP="00812AEA">
      <w:pPr>
        <w:jc w:val="both"/>
        <w:rPr>
          <w:rFonts w:eastAsia="Times New Roman"/>
          <w:bCs/>
          <w:lang w:val="en-PH"/>
        </w:rPr>
      </w:pPr>
      <w:r w:rsidRPr="009D584A">
        <w:rPr>
          <w:rFonts w:eastAsia="Times New Roman"/>
          <w:bCs/>
          <w:lang w:val="en-PH"/>
        </w:rPr>
        <w:t>US SEC Chairman Paul S. Atkins welcomed Ms. Riggin and stated, </w:t>
      </w:r>
      <w:r w:rsidRPr="009D584A">
        <w:rPr>
          <w:rFonts w:eastAsia="Times New Roman"/>
          <w:bCs/>
          <w:i/>
          <w:iCs/>
          <w:lang w:val="en-PH"/>
        </w:rPr>
        <w:t>“I’m pleased that Natalia will continue to lead this important office and serve as our primary liaison to Congress and other federal agencies as well as state governments. She has been serving the Commission effectively since January and her experience will help guide the Commission as we return to our core mission that Congress set for us.”</w:t>
      </w:r>
    </w:p>
    <w:p w14:paraId="2FA899B0" w14:textId="4D003CA5" w:rsidR="00E4055D" w:rsidRPr="000976A9" w:rsidRDefault="009D584A" w:rsidP="00812AEA">
      <w:pPr>
        <w:jc w:val="both"/>
        <w:rPr>
          <w:rFonts w:eastAsia="Times New Roman"/>
          <w:bCs/>
          <w:lang w:val="en-PH"/>
        </w:rPr>
      </w:pPr>
      <w:r w:rsidRPr="009D584A">
        <w:rPr>
          <w:rFonts w:eastAsia="Times New Roman"/>
          <w:bCs/>
          <w:lang w:val="en-PH"/>
        </w:rPr>
        <w:t>(Source: </w:t>
      </w:r>
      <w:hyperlink r:id="rId21" w:tgtFrame="_blank" w:history="1">
        <w:r w:rsidRPr="009D584A">
          <w:rPr>
            <w:rStyle w:val="Hyperlink"/>
            <w:rFonts w:eastAsia="Times New Roman"/>
            <w:bCs/>
            <w:color w:val="FF6E00"/>
            <w:lang w:val="en-PH"/>
          </w:rPr>
          <w:t>https://www.sec.gov/newsroom/press-releases/2025-81-natalia-diez-riggin-named-senior-advisor-director-legislative-intergovernmental-affairs</w:t>
        </w:r>
      </w:hyperlink>
      <w:r w:rsidRPr="009D584A">
        <w:rPr>
          <w:rFonts w:eastAsia="Times New Roman"/>
          <w:bCs/>
          <w:lang w:val="en-PH"/>
        </w:rPr>
        <w:t>)</w:t>
      </w:r>
    </w:p>
    <w:p w14:paraId="7AC7581B" w14:textId="77777777" w:rsidR="00E4055D" w:rsidRDefault="00E4055D" w:rsidP="00812AEA">
      <w:pPr>
        <w:jc w:val="both"/>
        <w:rPr>
          <w:rFonts w:eastAsia="Times New Roman"/>
          <w:bCs/>
          <w:lang w:val="en-PH"/>
        </w:rPr>
      </w:pPr>
    </w:p>
    <w:p w14:paraId="3D57BC52" w14:textId="7D21F519" w:rsidR="00E4055D" w:rsidRPr="00EC4C57" w:rsidRDefault="00A27A88" w:rsidP="00812AEA">
      <w:pPr>
        <w:jc w:val="both"/>
        <w:rPr>
          <w:b/>
          <w:bCs/>
          <w:color w:val="FF6E00"/>
          <w:lang w:val="en-PH"/>
        </w:rPr>
      </w:pPr>
      <w:r w:rsidRPr="00A27A88">
        <w:rPr>
          <w:b/>
          <w:bCs/>
          <w:color w:val="FF6E00"/>
          <w:lang w:val="en-PH"/>
        </w:rPr>
        <w:t>US SEC Commissioner Crenshaw Highlights Regulatory Inconsistency in Crypto Asset Classification Amid ETF Registrations</w:t>
      </w:r>
    </w:p>
    <w:p w14:paraId="2D063D32" w14:textId="77777777" w:rsidR="00A27A88" w:rsidRPr="00A27A88" w:rsidRDefault="00A27A88" w:rsidP="00812AEA">
      <w:pPr>
        <w:jc w:val="both"/>
        <w:rPr>
          <w:rFonts w:eastAsia="Times New Roman"/>
          <w:bCs/>
          <w:lang w:val="en-PH"/>
        </w:rPr>
      </w:pPr>
      <w:r w:rsidRPr="00A27A88">
        <w:rPr>
          <w:rFonts w:eastAsia="Times New Roman"/>
          <w:bCs/>
          <w:lang w:val="en-PH"/>
        </w:rPr>
        <w:t>On 31 May 2025, United States Securities and Exchange Commission (</w:t>
      </w:r>
      <w:r w:rsidRPr="00A27A88">
        <w:rPr>
          <w:rFonts w:eastAsia="Times New Roman"/>
          <w:b/>
          <w:bCs/>
          <w:lang w:val="en-PH"/>
        </w:rPr>
        <w:t>US SEC</w:t>
      </w:r>
      <w:r w:rsidRPr="00A27A88">
        <w:rPr>
          <w:rFonts w:eastAsia="Times New Roman"/>
          <w:bCs/>
          <w:lang w:val="en-PH"/>
        </w:rPr>
        <w:t>) Commissioner Caroline A. Crenshaw issued a powerful dissent titled </w:t>
      </w:r>
      <w:r w:rsidRPr="00AD2ED4">
        <w:rPr>
          <w:rFonts w:eastAsia="Times New Roman"/>
          <w:bCs/>
          <w:i/>
          <w:iCs/>
          <w:lang w:val="en-PH"/>
        </w:rPr>
        <w:t>“</w:t>
      </w:r>
      <w:hyperlink r:id="rId22" w:tgtFrame="_blank" w:history="1">
        <w:r w:rsidRPr="00AD2ED4">
          <w:rPr>
            <w:rStyle w:val="Hyperlink"/>
            <w:rFonts w:eastAsia="Times New Roman"/>
            <w:bCs/>
            <w:i/>
            <w:iCs/>
            <w:color w:val="FF6E00"/>
            <w:u w:val="none"/>
            <w:lang w:val="en-PH"/>
          </w:rPr>
          <w:t>Muddying the Waters: More Confusion on Crypto Asset Security Status</w:t>
        </w:r>
      </w:hyperlink>
      <w:r w:rsidRPr="00AD2ED4">
        <w:rPr>
          <w:rFonts w:eastAsia="Times New Roman"/>
          <w:bCs/>
          <w:i/>
          <w:iCs/>
          <w:lang w:val="en-PH"/>
        </w:rPr>
        <w:t>,” </w:t>
      </w:r>
      <w:r w:rsidRPr="00A27A88">
        <w:rPr>
          <w:rFonts w:eastAsia="Times New Roman"/>
          <w:bCs/>
          <w:lang w:val="en-PH"/>
        </w:rPr>
        <w:t>sharply criticising what she described as deepening inconsistencies in how the US SEC classifies crypto assets, especially in the wake of recently approved exchange-traded funds (</w:t>
      </w:r>
      <w:r w:rsidRPr="00A27A88">
        <w:rPr>
          <w:rFonts w:eastAsia="Times New Roman"/>
          <w:b/>
          <w:bCs/>
          <w:lang w:val="en-PH"/>
        </w:rPr>
        <w:t>ETFs</w:t>
      </w:r>
      <w:r w:rsidRPr="00A27A88">
        <w:rPr>
          <w:rFonts w:eastAsia="Times New Roman"/>
          <w:bCs/>
          <w:lang w:val="en-PH"/>
        </w:rPr>
        <w:t>) tied to Ethereum (</w:t>
      </w:r>
      <w:r w:rsidRPr="00A27A88">
        <w:rPr>
          <w:rFonts w:eastAsia="Times New Roman"/>
          <w:b/>
          <w:bCs/>
          <w:lang w:val="en-PH"/>
        </w:rPr>
        <w:t>ETH</w:t>
      </w:r>
      <w:r w:rsidRPr="00A27A88">
        <w:rPr>
          <w:rFonts w:eastAsia="Times New Roman"/>
          <w:bCs/>
          <w:lang w:val="en-PH"/>
        </w:rPr>
        <w:t>) and Solana (</w:t>
      </w:r>
      <w:r w:rsidRPr="00A27A88">
        <w:rPr>
          <w:rFonts w:eastAsia="Times New Roman"/>
          <w:b/>
          <w:bCs/>
          <w:lang w:val="en-PH"/>
        </w:rPr>
        <w:t>SOL</w:t>
      </w:r>
      <w:r w:rsidRPr="00A27A88">
        <w:rPr>
          <w:rFonts w:eastAsia="Times New Roman"/>
          <w:bCs/>
          <w:lang w:val="en-PH"/>
        </w:rPr>
        <w:t>). The Commissioner expressed concern that regulatory clarity is being sacrificed in favour of expediency, warning that current actions may “thwart any meaningful attempt to apply a coherent regime to crypto assets.”</w:t>
      </w:r>
    </w:p>
    <w:p w14:paraId="636673F7" w14:textId="41A62680" w:rsidR="00A27A88" w:rsidRPr="00A27A88" w:rsidRDefault="00A27A88" w:rsidP="00812AEA">
      <w:pPr>
        <w:jc w:val="both"/>
        <w:rPr>
          <w:rFonts w:eastAsia="Times New Roman"/>
          <w:bCs/>
          <w:lang w:val="en-PH"/>
        </w:rPr>
      </w:pPr>
      <w:r w:rsidRPr="00A27A88">
        <w:rPr>
          <w:rFonts w:eastAsia="Times New Roman"/>
          <w:bCs/>
          <w:lang w:val="en-PH"/>
        </w:rPr>
        <w:t xml:space="preserve">Over the past few months, the US SEC’s Division of Corporation Finance has released multiple staff statements—each pronouncing that different categories of crypto assets, including meme coins, proof-of-work tokens, and stablecoins, are not securities. Yet on 30 May 2025, two new ETFs i.e. Rex-Osprey ETH + Staking ETF and Rex-Osprey SOL + Staking ETF, were allowed to become effective under </w:t>
      </w:r>
      <w:hyperlink r:id="rId23" w:history="1">
        <w:r w:rsidRPr="00AD2ED4">
          <w:rPr>
            <w:rStyle w:val="Hyperlink"/>
            <w:rFonts w:eastAsia="Times New Roman"/>
            <w:bCs/>
            <w:color w:val="FF6E00"/>
            <w:u w:val="none"/>
            <w:lang w:val="en-PH"/>
          </w:rPr>
          <w:t>Form N-1A</w:t>
        </w:r>
      </w:hyperlink>
      <w:r w:rsidRPr="00A27A88">
        <w:rPr>
          <w:rFonts w:eastAsia="Times New Roman"/>
          <w:bCs/>
          <w:lang w:val="en-PH"/>
        </w:rPr>
        <w:t xml:space="preserve"> filings, indicating their classification as investment companies dealing primarily in securities. This apparent contradiction was further exacerbated by unresolved staff comments on the funds’ registration, disclosed in a correspondence posted on the US SEC’s EDGAR system.</w:t>
      </w:r>
    </w:p>
    <w:p w14:paraId="6C7BAB89" w14:textId="77777777" w:rsidR="00A27A88" w:rsidRPr="00A27A88" w:rsidRDefault="00A27A88" w:rsidP="00812AEA">
      <w:pPr>
        <w:jc w:val="both"/>
        <w:rPr>
          <w:rFonts w:eastAsia="Times New Roman"/>
          <w:bCs/>
          <w:lang w:val="en-PH"/>
        </w:rPr>
      </w:pPr>
      <w:r w:rsidRPr="00A27A88">
        <w:rPr>
          <w:rFonts w:eastAsia="Times New Roman"/>
          <w:bCs/>
          <w:lang w:val="en-PH"/>
        </w:rPr>
        <w:t>Commissioner Crenshaw also pointed to the lack of internal procedural rigour, citing that the Division of Investment Management’s serious concerns about the ETFs’ compliance and investor disclosures were not addressed before the funds were made effective. She warned that “it is to the detriment of market participants and investors when the staff’s review is not met with good faith engagement and comments are not fully resolved prior to effectiveness.”</w:t>
      </w:r>
    </w:p>
    <w:p w14:paraId="5F709AAF" w14:textId="77777777" w:rsidR="00A27A88" w:rsidRPr="00A27A88" w:rsidRDefault="00A27A88" w:rsidP="00812AEA">
      <w:pPr>
        <w:jc w:val="both"/>
        <w:rPr>
          <w:rFonts w:eastAsia="Times New Roman"/>
          <w:bCs/>
          <w:lang w:val="en-PH"/>
        </w:rPr>
      </w:pPr>
      <w:r w:rsidRPr="00A27A88">
        <w:rPr>
          <w:rFonts w:eastAsia="Times New Roman"/>
          <w:bCs/>
          <w:lang w:val="en-PH"/>
        </w:rPr>
        <w:t>Crenshaw invoked several prior US SEC documents, including the </w:t>
      </w:r>
      <w:hyperlink r:id="rId24" w:tgtFrame="_blank" w:history="1">
        <w:r w:rsidRPr="00A27A88">
          <w:rPr>
            <w:rStyle w:val="Hyperlink"/>
            <w:rFonts w:eastAsia="Times New Roman"/>
            <w:bCs/>
            <w:color w:val="FF6E00"/>
            <w:u w:val="none"/>
            <w:lang w:val="en-PH"/>
          </w:rPr>
          <w:t>Statement on Meme Coins</w:t>
        </w:r>
      </w:hyperlink>
      <w:r w:rsidRPr="00A27A88">
        <w:rPr>
          <w:rFonts w:eastAsia="Times New Roman"/>
          <w:bCs/>
          <w:lang w:val="en-PH"/>
        </w:rPr>
        <w:t> dated 27 February 2025, </w:t>
      </w:r>
      <w:hyperlink r:id="rId25" w:tgtFrame="_blank" w:history="1">
        <w:r w:rsidRPr="00A27A88">
          <w:rPr>
            <w:rStyle w:val="Hyperlink"/>
            <w:rFonts w:eastAsia="Times New Roman"/>
            <w:bCs/>
            <w:color w:val="FF6E00"/>
            <w:u w:val="none"/>
            <w:lang w:val="en-PH"/>
          </w:rPr>
          <w:t>Statement on Proof of Work Mining</w:t>
        </w:r>
      </w:hyperlink>
      <w:r w:rsidRPr="00A27A88">
        <w:rPr>
          <w:rFonts w:eastAsia="Times New Roman"/>
          <w:bCs/>
          <w:lang w:val="en-PH"/>
        </w:rPr>
        <w:t> dated 20 March 2025, and </w:t>
      </w:r>
      <w:hyperlink r:id="rId26" w:tgtFrame="_blank" w:history="1">
        <w:r w:rsidRPr="00A27A88">
          <w:rPr>
            <w:rStyle w:val="Hyperlink"/>
            <w:rFonts w:eastAsia="Times New Roman"/>
            <w:bCs/>
            <w:color w:val="FF6E00"/>
            <w:u w:val="none"/>
            <w:lang w:val="en-PH"/>
          </w:rPr>
          <w:t>Statement on Stablecoins</w:t>
        </w:r>
      </w:hyperlink>
      <w:r w:rsidRPr="00A27A88">
        <w:rPr>
          <w:rFonts w:eastAsia="Times New Roman"/>
          <w:bCs/>
          <w:lang w:val="en-PH"/>
        </w:rPr>
        <w:t> dated 4 April 2025, all of which claim certain crypto assets are not securities. She contrasted these positions with the registration of ETFs investing in ETH and SOL as if they were securities—emphasising that this is not merely a matter of differing statutes, but a violation of foundational legal coherence. She asserted, “</w:t>
      </w:r>
      <w:r w:rsidRPr="00A27A88">
        <w:rPr>
          <w:rFonts w:eastAsia="Times New Roman"/>
          <w:bCs/>
          <w:i/>
          <w:iCs/>
          <w:lang w:val="en-PH"/>
        </w:rPr>
        <w:t>These assets cannot be both securities and not securities at the exact same time.”</w:t>
      </w:r>
    </w:p>
    <w:p w14:paraId="7DEB0569" w14:textId="77777777" w:rsidR="00A27A88" w:rsidRPr="00A27A88" w:rsidRDefault="00A27A88" w:rsidP="00812AEA">
      <w:pPr>
        <w:jc w:val="both"/>
        <w:rPr>
          <w:rFonts w:eastAsia="Times New Roman"/>
          <w:bCs/>
          <w:lang w:val="en-PH"/>
        </w:rPr>
      </w:pPr>
      <w:r w:rsidRPr="00A27A88">
        <w:rPr>
          <w:rFonts w:eastAsia="Times New Roman"/>
          <w:bCs/>
          <w:lang w:val="en-PH"/>
        </w:rPr>
        <w:lastRenderedPageBreak/>
        <w:t>In closing, she concluded that rather than moving towards regulatory clarity, the US SEC is adrift in </w:t>
      </w:r>
      <w:r w:rsidRPr="00A27A88">
        <w:rPr>
          <w:rFonts w:eastAsia="Times New Roman"/>
          <w:bCs/>
          <w:i/>
          <w:iCs/>
          <w:lang w:val="en-PH"/>
        </w:rPr>
        <w:t>“increasingly muddy waters of our own making.”</w:t>
      </w:r>
      <w:r w:rsidRPr="00A27A88">
        <w:rPr>
          <w:rFonts w:eastAsia="Times New Roman"/>
          <w:bCs/>
          <w:lang w:val="en-PH"/>
        </w:rPr>
        <w:t> Crenshaw’s statement is the reflection of growing intra-agency friction within the US SEC and the urgent need for consistent, principled interpretation of US federal securities laws in the evolving crypto economy.</w:t>
      </w:r>
    </w:p>
    <w:p w14:paraId="69E06DE7" w14:textId="345B9C92" w:rsidR="00E4055D" w:rsidRDefault="00A27A88" w:rsidP="00812AEA">
      <w:pPr>
        <w:jc w:val="both"/>
        <w:rPr>
          <w:rFonts w:eastAsia="Times New Roman"/>
          <w:bCs/>
          <w:lang w:val="en-PH"/>
        </w:rPr>
      </w:pPr>
      <w:r w:rsidRPr="00A27A88">
        <w:rPr>
          <w:rFonts w:eastAsia="Times New Roman"/>
          <w:bCs/>
          <w:lang w:val="en-PH"/>
        </w:rPr>
        <w:t>(Source: </w:t>
      </w:r>
      <w:hyperlink r:id="rId27" w:tgtFrame="_blank" w:history="1">
        <w:r w:rsidRPr="00A27A88">
          <w:rPr>
            <w:rStyle w:val="Hyperlink"/>
            <w:rFonts w:eastAsia="Times New Roman"/>
            <w:bCs/>
            <w:color w:val="FF6E00"/>
            <w:lang w:val="en-PH"/>
          </w:rPr>
          <w:t>https://www.sec.gov/newsroom/speeches-statements/crenshaw-statement-crypto-asset-security-status-053125</w:t>
        </w:r>
      </w:hyperlink>
      <w:r w:rsidRPr="00A27A88">
        <w:rPr>
          <w:rFonts w:eastAsia="Times New Roman"/>
          <w:bCs/>
          <w:lang w:val="en-PH"/>
        </w:rPr>
        <w:t>)</w:t>
      </w:r>
    </w:p>
    <w:p w14:paraId="55409D55" w14:textId="77777777" w:rsidR="00B004D8" w:rsidRDefault="00B004D8" w:rsidP="00812AEA">
      <w:pPr>
        <w:jc w:val="both"/>
        <w:rPr>
          <w:rFonts w:eastAsia="Times New Roman"/>
          <w:bCs/>
          <w:lang w:val="en-PH"/>
        </w:rPr>
      </w:pPr>
    </w:p>
    <w:p w14:paraId="1C70CEB0" w14:textId="77777777" w:rsidR="00B004D8" w:rsidRPr="00EC4C57" w:rsidRDefault="00B004D8" w:rsidP="00B004D8">
      <w:pPr>
        <w:jc w:val="both"/>
        <w:rPr>
          <w:b/>
          <w:bCs/>
          <w:color w:val="FF6E00"/>
          <w:lang w:val="en-PH"/>
        </w:rPr>
      </w:pPr>
      <w:r w:rsidRPr="00C47AA3">
        <w:rPr>
          <w:b/>
          <w:bCs/>
          <w:color w:val="FF6E00"/>
          <w:lang w:val="en-PH"/>
        </w:rPr>
        <w:t>US SEC Commissioner Hester M. Peirce Releases Statement Titled “Providing Security is not a ‘Security’” in Support of US SEC Division of Corporation Finance’s Statement on Certain Protocol Staking Activities</w:t>
      </w:r>
    </w:p>
    <w:p w14:paraId="2EB5EE6F" w14:textId="77777777" w:rsidR="00B004D8" w:rsidRPr="00C47AA3" w:rsidRDefault="00B004D8" w:rsidP="00B004D8">
      <w:pPr>
        <w:jc w:val="both"/>
        <w:rPr>
          <w:rFonts w:eastAsia="Times New Roman"/>
          <w:bCs/>
          <w:lang w:val="en-PH"/>
        </w:rPr>
      </w:pPr>
      <w:r w:rsidRPr="00C47AA3">
        <w:rPr>
          <w:rFonts w:eastAsia="Times New Roman"/>
          <w:bCs/>
          <w:lang w:val="en-PH"/>
        </w:rPr>
        <w:t>On 29 May 2025, Commissioner Hester M. Peirce of the United States Securities and Exchange Commission (</w:t>
      </w:r>
      <w:r w:rsidRPr="00C47AA3">
        <w:rPr>
          <w:rFonts w:eastAsia="Times New Roman"/>
          <w:b/>
          <w:bCs/>
          <w:lang w:val="en-PH"/>
        </w:rPr>
        <w:t>US SEC</w:t>
      </w:r>
      <w:r w:rsidRPr="00C47AA3">
        <w:rPr>
          <w:rFonts w:eastAsia="Times New Roman"/>
          <w:bCs/>
          <w:lang w:val="en-PH"/>
        </w:rPr>
        <w:t>) issued a public statement titled </w:t>
      </w:r>
      <w:r w:rsidRPr="00C47AA3">
        <w:rPr>
          <w:rFonts w:eastAsia="Times New Roman"/>
          <w:bCs/>
          <w:i/>
          <w:iCs/>
          <w:lang w:val="en-PH"/>
        </w:rPr>
        <w:t>“</w:t>
      </w:r>
      <w:hyperlink r:id="rId28" w:tgtFrame="_blank" w:history="1">
        <w:r w:rsidRPr="00C47AA3">
          <w:rPr>
            <w:rStyle w:val="Hyperlink"/>
            <w:rFonts w:eastAsia="Times New Roman"/>
            <w:bCs/>
            <w:i/>
            <w:iCs/>
            <w:color w:val="FF6E00"/>
            <w:u w:val="none"/>
            <w:lang w:val="en-PH"/>
          </w:rPr>
          <w:t>Providing Security is not a ‘Security’</w:t>
        </w:r>
      </w:hyperlink>
      <w:r w:rsidRPr="00C47AA3">
        <w:rPr>
          <w:rFonts w:eastAsia="Times New Roman"/>
          <w:bCs/>
          <w:i/>
          <w:iCs/>
          <w:lang w:val="en-PH"/>
        </w:rPr>
        <w:t>”</w:t>
      </w:r>
      <w:r w:rsidRPr="00C47AA3">
        <w:rPr>
          <w:rFonts w:eastAsia="Times New Roman"/>
          <w:bCs/>
          <w:lang w:val="en-PH"/>
        </w:rPr>
        <w:t xml:space="preserve"> in support of the earlier statement released by the US SEC Division of Corporation Finance titled </w:t>
      </w:r>
      <w:r w:rsidRPr="00B26E4E">
        <w:rPr>
          <w:rFonts w:eastAsia="Times New Roman"/>
          <w:bCs/>
          <w:i/>
          <w:iCs/>
          <w:lang w:val="en-PH"/>
        </w:rPr>
        <w:t>“</w:t>
      </w:r>
      <w:hyperlink r:id="rId29" w:tgtFrame="_blank" w:history="1">
        <w:r w:rsidRPr="00B26E4E">
          <w:rPr>
            <w:rStyle w:val="Hyperlink"/>
            <w:rFonts w:eastAsia="Times New Roman"/>
            <w:bCs/>
            <w:i/>
            <w:iCs/>
            <w:color w:val="FF6E00"/>
            <w:u w:val="none"/>
            <w:lang w:val="en-PH"/>
          </w:rPr>
          <w:t>Statement on Certain Protocol Staking Activities</w:t>
        </w:r>
      </w:hyperlink>
      <w:r w:rsidRPr="00B26E4E">
        <w:rPr>
          <w:rFonts w:eastAsia="Times New Roman"/>
          <w:bCs/>
          <w:i/>
          <w:iCs/>
          <w:lang w:val="en-PH"/>
        </w:rPr>
        <w:t>”</w:t>
      </w:r>
      <w:r w:rsidRPr="00C47AA3">
        <w:rPr>
          <w:rFonts w:eastAsia="Times New Roman"/>
          <w:bCs/>
          <w:lang w:val="en-PH"/>
        </w:rPr>
        <w:t xml:space="preserve"> regarding the application of US federal securities laws to protocol staking. Commissioner Peirce welcomed the US SEC Division of Corporation Finance’s clarification that staking certain crypto assets on proof-of-stake (</w:t>
      </w:r>
      <w:r w:rsidRPr="00C47AA3">
        <w:rPr>
          <w:rFonts w:eastAsia="Times New Roman"/>
          <w:b/>
          <w:bCs/>
          <w:lang w:val="en-PH"/>
        </w:rPr>
        <w:t>PoS</w:t>
      </w:r>
      <w:r w:rsidRPr="00C47AA3">
        <w:rPr>
          <w:rFonts w:eastAsia="Times New Roman"/>
          <w:bCs/>
          <w:lang w:val="en-PH"/>
        </w:rPr>
        <w:t>) or delegated PoS networks, whether by individuals or through non-custodial or custodial third-party providers, does not constitute a securities transaction when conducted within the factual framework outlined in the staff statement.</w:t>
      </w:r>
    </w:p>
    <w:p w14:paraId="1488F085" w14:textId="77777777" w:rsidR="00B004D8" w:rsidRPr="00C47AA3" w:rsidRDefault="00B004D8" w:rsidP="00B004D8">
      <w:pPr>
        <w:jc w:val="both"/>
        <w:rPr>
          <w:rFonts w:eastAsia="Times New Roman"/>
          <w:bCs/>
          <w:lang w:val="en-PH"/>
        </w:rPr>
      </w:pPr>
      <w:r w:rsidRPr="00C47AA3">
        <w:rPr>
          <w:rFonts w:eastAsia="Times New Roman"/>
          <w:bCs/>
          <w:lang w:val="en-PH"/>
        </w:rPr>
        <w:t>Commissioner Peirce stated that prior regulatory uncertainty had discouraged American participation in staking, which in turn affected the decentralisation and operational integrity of PoS blockchain networks. She expressed that the Division’s guidance restores needed clarity and enables broader participation in network security without the fear of breaching securities laws.</w:t>
      </w:r>
    </w:p>
    <w:p w14:paraId="647FC9C6" w14:textId="77777777" w:rsidR="00B004D8" w:rsidRPr="00C47AA3" w:rsidRDefault="00B004D8" w:rsidP="00B004D8">
      <w:pPr>
        <w:jc w:val="both"/>
        <w:rPr>
          <w:rFonts w:eastAsia="Times New Roman"/>
          <w:bCs/>
          <w:lang w:val="en-PH"/>
        </w:rPr>
      </w:pPr>
      <w:r w:rsidRPr="00C47AA3">
        <w:rPr>
          <w:rFonts w:eastAsia="Times New Roman"/>
          <w:bCs/>
          <w:lang w:val="en-PH"/>
        </w:rPr>
        <w:t>She highlighted that the US SEC Division of Corporation Finance’s statement covers activities such as solo staking, non-custodial third-party staking, and custodial staking services. The guidance also confirms that certain support features, such as slashing coverage, early unbonding, reward scheduling, and asset aggregation, do not, in themselves, turn staking into a securities offering. These services, the statement affirms, are technical or administrative in nature and do not alter the legal character of the staking activity.</w:t>
      </w:r>
    </w:p>
    <w:p w14:paraId="156C9842" w14:textId="499BA58D" w:rsidR="00B004D8" w:rsidRPr="00C47AA3" w:rsidRDefault="00B004D8" w:rsidP="00B004D8">
      <w:pPr>
        <w:jc w:val="both"/>
        <w:rPr>
          <w:rFonts w:eastAsia="Times New Roman"/>
          <w:bCs/>
          <w:lang w:val="en-PH"/>
        </w:rPr>
      </w:pPr>
      <w:r w:rsidRPr="00C47AA3">
        <w:rPr>
          <w:rFonts w:eastAsia="Times New Roman"/>
          <w:bCs/>
          <w:lang w:val="en-PH"/>
        </w:rPr>
        <w:t xml:space="preserve">Commissioner Peirce connected the US SEC Division of Corporation Finance’s staking guidance statement to its earlier March 2025 </w:t>
      </w:r>
      <w:hyperlink r:id="rId30" w:history="1">
        <w:r w:rsidRPr="00CF4C7F">
          <w:rPr>
            <w:rStyle w:val="Hyperlink"/>
            <w:rFonts w:eastAsia="Times New Roman"/>
            <w:bCs/>
            <w:color w:val="FF6E00"/>
            <w:u w:val="none"/>
            <w:lang w:val="en-PH"/>
          </w:rPr>
          <w:t>statement on proof-of-work mining</w:t>
        </w:r>
      </w:hyperlink>
      <w:r w:rsidRPr="00C47AA3">
        <w:rPr>
          <w:rFonts w:eastAsia="Times New Roman"/>
          <w:bCs/>
          <w:lang w:val="en-PH"/>
        </w:rPr>
        <w:t>, which similarly concluded that participating in blockchain consensus mechanisms, when limited to protocol execution, does not constitute a securities transaction. She noted that the US SEC Crypto Task Force is expected to continue examining the legal character of other network-based activities and encouraged stakeholders to submit questions and feedback to the Division.</w:t>
      </w:r>
    </w:p>
    <w:p w14:paraId="0219E1F7" w14:textId="77777777" w:rsidR="00B004D8" w:rsidRPr="00C47AA3" w:rsidRDefault="00B004D8" w:rsidP="00B004D8">
      <w:pPr>
        <w:jc w:val="both"/>
        <w:rPr>
          <w:rFonts w:eastAsia="Times New Roman"/>
          <w:bCs/>
          <w:lang w:val="en-PH"/>
        </w:rPr>
      </w:pPr>
      <w:r w:rsidRPr="00C47AA3">
        <w:rPr>
          <w:rFonts w:eastAsia="Times New Roman"/>
          <w:bCs/>
          <w:lang w:val="en-PH"/>
        </w:rPr>
        <w:t>Commissioner Peirce concluded with thanking Cicely LaMothe, Acting Director of the US SEC Division of Corporation Finance, and her team for producing the guidance.</w:t>
      </w:r>
    </w:p>
    <w:p w14:paraId="35FE66DF" w14:textId="77777777" w:rsidR="00B004D8" w:rsidRPr="000976A9" w:rsidRDefault="00B004D8" w:rsidP="00B004D8">
      <w:pPr>
        <w:jc w:val="both"/>
        <w:rPr>
          <w:rFonts w:eastAsia="Times New Roman"/>
          <w:bCs/>
          <w:lang w:val="en-PH"/>
        </w:rPr>
      </w:pPr>
      <w:r w:rsidRPr="00C47AA3">
        <w:rPr>
          <w:rFonts w:eastAsia="Times New Roman"/>
          <w:bCs/>
          <w:lang w:val="en-PH"/>
        </w:rPr>
        <w:t>(Source: </w:t>
      </w:r>
      <w:hyperlink r:id="rId31" w:tgtFrame="_blank" w:history="1">
        <w:r w:rsidRPr="00C47AA3">
          <w:rPr>
            <w:rStyle w:val="Hyperlink"/>
            <w:rFonts w:eastAsia="Times New Roman"/>
            <w:bCs/>
            <w:color w:val="FF6E00"/>
            <w:lang w:val="en-PH"/>
          </w:rPr>
          <w:t>https://www.sec.gov/newsroom/speeches-statements/peirce-statement-protocol-staking-052925</w:t>
        </w:r>
      </w:hyperlink>
      <w:r w:rsidRPr="00C47AA3">
        <w:rPr>
          <w:rFonts w:eastAsia="Times New Roman"/>
          <w:bCs/>
          <w:lang w:val="en-PH"/>
        </w:rPr>
        <w:t>)</w:t>
      </w:r>
    </w:p>
    <w:p w14:paraId="7BBD3DF2" w14:textId="77777777" w:rsidR="00B004D8" w:rsidRDefault="00B004D8" w:rsidP="00B004D8">
      <w:pPr>
        <w:jc w:val="both"/>
        <w:rPr>
          <w:rFonts w:eastAsia="Times New Roman"/>
          <w:bCs/>
          <w:lang w:val="en-PH"/>
        </w:rPr>
      </w:pPr>
    </w:p>
    <w:p w14:paraId="25FE61F4" w14:textId="77777777" w:rsidR="00B004D8" w:rsidRPr="00EC4C57" w:rsidRDefault="00B004D8" w:rsidP="00B004D8">
      <w:pPr>
        <w:jc w:val="both"/>
        <w:rPr>
          <w:b/>
          <w:bCs/>
          <w:color w:val="FF6E00"/>
          <w:lang w:val="en-PH"/>
        </w:rPr>
      </w:pPr>
      <w:r w:rsidRPr="007F7109">
        <w:rPr>
          <w:b/>
          <w:bCs/>
          <w:color w:val="FF6E00"/>
          <w:lang w:val="en-PH"/>
        </w:rPr>
        <w:lastRenderedPageBreak/>
        <w:t>US CFTC Commissioner Kristin Johnson’s Remarks on “Exploring AI Risks and Opportunities Across the Digital and Cyber Landscape” Signals Compliance Shift in Financial Markets with GenAI, Agentic AI and Cyber Risk Management in Financial Markets</w:t>
      </w:r>
    </w:p>
    <w:p w14:paraId="2B009CFE" w14:textId="77777777" w:rsidR="00B004D8" w:rsidRPr="00A22B64" w:rsidRDefault="00B004D8" w:rsidP="00B004D8">
      <w:pPr>
        <w:jc w:val="both"/>
        <w:rPr>
          <w:rFonts w:eastAsia="Times New Roman"/>
          <w:bCs/>
          <w:lang w:val="en-PH"/>
        </w:rPr>
      </w:pPr>
      <w:r w:rsidRPr="00A22B64">
        <w:rPr>
          <w:rFonts w:eastAsia="Times New Roman"/>
          <w:bCs/>
          <w:lang w:val="en-PH"/>
        </w:rPr>
        <w:t>On 29 May 2025, the United States Commodity Futures Trading Commission (</w:t>
      </w:r>
      <w:r w:rsidRPr="00A22B64">
        <w:rPr>
          <w:rFonts w:eastAsia="Times New Roman"/>
          <w:b/>
          <w:bCs/>
          <w:lang w:val="en-PH"/>
        </w:rPr>
        <w:t>US CFTC)</w:t>
      </w:r>
      <w:r w:rsidRPr="00A22B64">
        <w:rPr>
          <w:rFonts w:eastAsia="Times New Roman"/>
          <w:bCs/>
          <w:lang w:val="en-PH"/>
        </w:rPr>
        <w:t xml:space="preserve"> Commissioner Kristin Johnson delivered keynote remarks at the Federal Reserve Bank of Dallas Symposium on </w:t>
      </w:r>
      <w:r w:rsidRPr="006A3EB2">
        <w:rPr>
          <w:rFonts w:eastAsia="Times New Roman"/>
          <w:bCs/>
          <w:i/>
          <w:iCs/>
          <w:lang w:val="en-PH"/>
        </w:rPr>
        <w:t>“</w:t>
      </w:r>
      <w:hyperlink r:id="rId32" w:tgtFrame="_blank" w:history="1">
        <w:r w:rsidRPr="006A3EB2">
          <w:rPr>
            <w:rStyle w:val="Hyperlink"/>
            <w:rFonts w:eastAsia="Times New Roman"/>
            <w:bCs/>
            <w:i/>
            <w:iCs/>
            <w:color w:val="FF6E00"/>
            <w:u w:val="none"/>
            <w:lang w:val="en-PH"/>
          </w:rPr>
          <w:t>Exploring AI Risks and Opportunities Across the Digital and Cyber Landscape</w:t>
        </w:r>
      </w:hyperlink>
      <w:r w:rsidRPr="006A3EB2">
        <w:rPr>
          <w:rFonts w:eastAsia="Times New Roman"/>
          <w:bCs/>
          <w:i/>
          <w:iCs/>
          <w:lang w:val="en-PH"/>
        </w:rPr>
        <w:t xml:space="preserve">.” </w:t>
      </w:r>
      <w:r w:rsidRPr="00A22B64">
        <w:rPr>
          <w:rFonts w:eastAsia="Times New Roman"/>
          <w:bCs/>
          <w:lang w:val="en-PH"/>
        </w:rPr>
        <w:t>Commissioner Johnson outlined the US CFTC’s evolving supervisory priorities regarding the rise of generative AI (</w:t>
      </w:r>
      <w:r w:rsidRPr="00A22B64">
        <w:rPr>
          <w:rFonts w:eastAsia="Times New Roman"/>
          <w:b/>
          <w:bCs/>
          <w:lang w:val="en-PH"/>
        </w:rPr>
        <w:t>GenAI</w:t>
      </w:r>
      <w:r w:rsidRPr="00A22B64">
        <w:rPr>
          <w:rFonts w:eastAsia="Times New Roman"/>
          <w:bCs/>
          <w:lang w:val="en-PH"/>
        </w:rPr>
        <w:t>) and agentic AI, placing particular emphasis on the dual nature of AI as both a regulatory opportunity and systemic risk. The address offered detailed insight into how the US CFTC interprets AI’s growing footprint in financial supervision, cybersecurity resilience, third-party risk governance, and operational compliance—signalling a proactive but cautious regulatory direction.</w:t>
      </w:r>
    </w:p>
    <w:p w14:paraId="51937D76" w14:textId="77777777" w:rsidR="00B004D8" w:rsidRPr="00A22B64" w:rsidRDefault="00B004D8" w:rsidP="00B004D8">
      <w:pPr>
        <w:jc w:val="both"/>
        <w:rPr>
          <w:rFonts w:eastAsia="Times New Roman"/>
          <w:bCs/>
          <w:lang w:val="en-PH"/>
        </w:rPr>
      </w:pPr>
      <w:r w:rsidRPr="00A22B64">
        <w:rPr>
          <w:rFonts w:eastAsia="Times New Roman"/>
          <w:bCs/>
          <w:lang w:val="en-PH"/>
        </w:rPr>
        <w:t>The US CFTC has made clear that AI is no longer speculative, it is operational. Commissioner Johnson categorised AI development into three strategic epochs: traditional machine learning, GenAI, and now agentic AI. While recognising the automation potential in compliance and market monitoring, she also signalled the agency’s preference for use-case-specific assessments. Importantly, the US CFTC is not proposing blanket regulation but a tiered and dynamic supervisory lens, guided by whether the application serves compliance objectives or exposes market integrity to automation risk. Regulated entities should prepare for the US CFTC’s differentiated oversight based on the type of AI model deployed and its functional integration into regulatory or trading operations. This implies readiness to provide AI governance documentation, model explainability, and error escalation protocols in case of autonomy failures.</w:t>
      </w:r>
    </w:p>
    <w:p w14:paraId="2240F2C2" w14:textId="77777777" w:rsidR="00B004D8" w:rsidRPr="00A22B64" w:rsidRDefault="00B004D8" w:rsidP="00B004D8">
      <w:pPr>
        <w:jc w:val="both"/>
        <w:rPr>
          <w:rFonts w:eastAsia="Times New Roman"/>
          <w:bCs/>
          <w:lang w:val="en-PH"/>
        </w:rPr>
      </w:pPr>
      <w:r w:rsidRPr="00A22B64">
        <w:rPr>
          <w:rFonts w:eastAsia="Times New Roman"/>
          <w:bCs/>
          <w:u w:val="single"/>
          <w:lang w:val="en-PH"/>
        </w:rPr>
        <w:t>GenAI’s Regulatory Promise Is Overshadowed by its Weakness in High-Stakes, Data-Driven Environments</w:t>
      </w:r>
    </w:p>
    <w:p w14:paraId="30ADBC9E" w14:textId="77777777" w:rsidR="00B004D8" w:rsidRPr="00A22B64" w:rsidRDefault="00B004D8" w:rsidP="00B004D8">
      <w:pPr>
        <w:jc w:val="both"/>
        <w:rPr>
          <w:rFonts w:eastAsia="Times New Roman"/>
          <w:bCs/>
          <w:lang w:val="en-PH"/>
        </w:rPr>
      </w:pPr>
      <w:r w:rsidRPr="00A22B64">
        <w:rPr>
          <w:rFonts w:eastAsia="Times New Roman"/>
          <w:bCs/>
          <w:lang w:val="en-PH"/>
        </w:rPr>
        <w:t>The US CFTC acknowledges the value of GenAI in simplifying compliance operations, particularly in regulatory reporting, policy review, and customer interaction frameworks. However, Commissioner Johnson directly identified hallucinations, model opacity, and non-deterministic outputs as structural flaws for regulatory dependence. She cited real-world failures of GenAI models under dynamic environmental conditions, such as rerouting traffic in changing cityscapes, drawing a parallel to financial compliance under evolving regulations. Compliance teams should note that the US CFTC is unlikely to view GenAI outputs as reliable without robust guardrails. Institutions using GenAI for AML/KYC, stress testing, or disclosures should employ independent validation layers, deterministic safeguards, and audit trails for all outputs.</w:t>
      </w:r>
    </w:p>
    <w:p w14:paraId="1429BF76" w14:textId="77777777" w:rsidR="00B004D8" w:rsidRPr="00A22B64" w:rsidRDefault="00B004D8" w:rsidP="00B004D8">
      <w:pPr>
        <w:jc w:val="both"/>
        <w:rPr>
          <w:rFonts w:eastAsia="Times New Roman"/>
          <w:bCs/>
          <w:lang w:val="en-PH"/>
        </w:rPr>
      </w:pPr>
      <w:r w:rsidRPr="00A22B64">
        <w:rPr>
          <w:rFonts w:eastAsia="Times New Roman"/>
          <w:bCs/>
          <w:u w:val="single"/>
          <w:lang w:val="en-PH"/>
        </w:rPr>
        <w:t>Agentic AI Is a Compliance Force Multiplier, But Only When Architected for Oversight</w:t>
      </w:r>
    </w:p>
    <w:p w14:paraId="20A2BEFA" w14:textId="77777777" w:rsidR="00B004D8" w:rsidRPr="00A22B64" w:rsidRDefault="00B004D8" w:rsidP="00B004D8">
      <w:pPr>
        <w:jc w:val="both"/>
        <w:rPr>
          <w:rFonts w:eastAsia="Times New Roman"/>
          <w:bCs/>
          <w:lang w:val="en-PH"/>
        </w:rPr>
      </w:pPr>
      <w:r w:rsidRPr="00A22B64">
        <w:rPr>
          <w:rFonts w:eastAsia="Times New Roman"/>
          <w:bCs/>
          <w:lang w:val="en-PH"/>
        </w:rPr>
        <w:t>Unlike GenAI, agentic AI can act independently, adapt to data, and execute tasks without prompts making it a potent tool for fraud prevention, continuous monitoring, and autonomous transaction flagging. Commissioner Johnson spotlighted agentic AI’s ability to enhance real-time credit scoring, automate regulatory filings, and improve compliance interaction with customers. She welcomed these capabilities but underscored the non-negotiable need for input integrity and governance transparency. Financial firms must classify agentic AI implementations as “regulated systems” under internal compliance architectures. Risk and compliance functions should document: (a) model training data provenance, (b) override protocols, (c) error learning loops, and (d) AI output supervision parameters in line with US CFTC’s expectation of proactive governance.</w:t>
      </w:r>
    </w:p>
    <w:p w14:paraId="1E853DA3" w14:textId="77777777" w:rsidR="00B004D8" w:rsidRPr="00A22B64" w:rsidRDefault="00B004D8" w:rsidP="00B004D8">
      <w:pPr>
        <w:jc w:val="both"/>
        <w:rPr>
          <w:rFonts w:eastAsia="Times New Roman"/>
          <w:bCs/>
          <w:lang w:val="en-PH"/>
        </w:rPr>
      </w:pPr>
      <w:r w:rsidRPr="00A22B64">
        <w:rPr>
          <w:rFonts w:eastAsia="Times New Roman"/>
          <w:bCs/>
          <w:u w:val="single"/>
          <w:lang w:val="en-PH"/>
        </w:rPr>
        <w:lastRenderedPageBreak/>
        <w:t>US CFTC Flags the Autonomy-Risk Feedback Loop: Poor Inputs Will Poison AI Outputs at Scale</w:t>
      </w:r>
    </w:p>
    <w:p w14:paraId="789A4E42" w14:textId="77777777" w:rsidR="00B004D8" w:rsidRPr="00A22B64" w:rsidRDefault="00B004D8" w:rsidP="00B004D8">
      <w:pPr>
        <w:jc w:val="both"/>
        <w:rPr>
          <w:rFonts w:eastAsia="Times New Roman"/>
          <w:bCs/>
          <w:lang w:val="en-PH"/>
        </w:rPr>
      </w:pPr>
      <w:r w:rsidRPr="00A22B64">
        <w:rPr>
          <w:rFonts w:eastAsia="Times New Roman"/>
          <w:bCs/>
          <w:lang w:val="en-PH"/>
        </w:rPr>
        <w:t>Commissioner Johnson warned that agentic AI, if trained on corrupted or biased data, can perpetuate false assumptions across autonomous actions. In the absence of “humans-in-the-loop,” these models can enter self-reinforcing feedback loops of faulty compliance or trading actions. Additionally, vulnerabilities such as data leakages, privacy breaches, model inference attacks, and hallucination propagation present amplified systemic threats. The US CFTC is likely to evaluate AI systems through the lens of operational resilience and model integrity. Firms should adopt layered governance covering input validation, periodic adversarial testing, model risk management, and kill-switch design for AI agents in mission-critical functions.</w:t>
      </w:r>
    </w:p>
    <w:p w14:paraId="52B93515" w14:textId="77777777" w:rsidR="00B004D8" w:rsidRPr="00A22B64" w:rsidRDefault="00B004D8" w:rsidP="00B004D8">
      <w:pPr>
        <w:jc w:val="both"/>
        <w:rPr>
          <w:rFonts w:eastAsia="Times New Roman"/>
          <w:bCs/>
          <w:lang w:val="en-PH"/>
        </w:rPr>
      </w:pPr>
      <w:r w:rsidRPr="00A22B64">
        <w:rPr>
          <w:rFonts w:eastAsia="Times New Roman"/>
          <w:bCs/>
          <w:u w:val="single"/>
          <w:lang w:val="en-PH"/>
        </w:rPr>
        <w:t>AI-Powered Cyber Threats are Rising: US CFTC Signals Supervisory Convergence with SupTech Adoption</w:t>
      </w:r>
    </w:p>
    <w:p w14:paraId="26365141" w14:textId="77777777" w:rsidR="00B004D8" w:rsidRPr="00A22B64" w:rsidRDefault="00B004D8" w:rsidP="00B004D8">
      <w:pPr>
        <w:jc w:val="both"/>
        <w:rPr>
          <w:rFonts w:eastAsia="Times New Roman"/>
          <w:bCs/>
          <w:lang w:val="en-PH"/>
        </w:rPr>
      </w:pPr>
      <w:r w:rsidRPr="00A22B64">
        <w:rPr>
          <w:rFonts w:eastAsia="Times New Roman"/>
          <w:bCs/>
          <w:lang w:val="en-PH"/>
        </w:rPr>
        <w:t>Commissioner Johnson detailed how AI is now central to both cybersecurity threats and their mitigation. She cited rising AI-enhanced attacks such as deepfake-based fraud, synthetic identity generation, and phishing malware. At the same time, the US CFTC views AI as a foundational element in SupTech architecture, capable of detecting fraud patterns, real-time market manipulation, and system anomalies. Regulated firms should prepare for dual obligations: (i) integrating AI into their cybersecurity frameworks, and (ii) documenting how they defend against adversarial AI exploitation. US CFTC is likely to favour institutions that demonstrate “AI-aware cyber hygiene,” combining threat detection with pre-emptive architecture.</w:t>
      </w:r>
    </w:p>
    <w:p w14:paraId="0CD7F04D" w14:textId="77777777" w:rsidR="00B004D8" w:rsidRPr="00A22B64" w:rsidRDefault="00B004D8" w:rsidP="00B004D8">
      <w:pPr>
        <w:jc w:val="both"/>
        <w:rPr>
          <w:rFonts w:eastAsia="Times New Roman"/>
          <w:bCs/>
          <w:lang w:val="en-PH"/>
        </w:rPr>
      </w:pPr>
      <w:r w:rsidRPr="00A22B64">
        <w:rPr>
          <w:rFonts w:eastAsia="Times New Roman"/>
          <w:bCs/>
          <w:u w:val="single"/>
          <w:lang w:val="en-PH"/>
        </w:rPr>
        <w:t>SupTech Is No Longer Optional: US CFTC May Soon Mandate Supervisory Technology Readiness</w:t>
      </w:r>
    </w:p>
    <w:p w14:paraId="532A6A9A" w14:textId="77777777" w:rsidR="00B004D8" w:rsidRPr="00A22B64" w:rsidRDefault="00B004D8" w:rsidP="00B004D8">
      <w:pPr>
        <w:jc w:val="both"/>
        <w:rPr>
          <w:rFonts w:eastAsia="Times New Roman"/>
          <w:bCs/>
          <w:lang w:val="en-PH"/>
        </w:rPr>
      </w:pPr>
      <w:r w:rsidRPr="00A22B64">
        <w:rPr>
          <w:rFonts w:eastAsia="Times New Roman"/>
          <w:bCs/>
          <w:lang w:val="en-PH"/>
        </w:rPr>
        <w:t>The US CFTC has positioned itself as both a user and regulator of AI. Johnson noted that 59% of global supervisory authorities now use SupTech tools. The implication is clear: the US CFTC is aligning itself with a global supervisory transformation, likely to expand expectations around regulated firms’ internal RegTech capabilities. Firms should align internal compliance transformation efforts with the US CFTC’s SupTech trajectory—by investing in data lakes, automated reporting pipelines, fraud detection AI, and RegTech integration for document review and transaction monitoring. Capability disclosures may soon become routine.</w:t>
      </w:r>
    </w:p>
    <w:p w14:paraId="1D486B5E" w14:textId="77777777" w:rsidR="00B004D8" w:rsidRPr="00A22B64" w:rsidRDefault="00B004D8" w:rsidP="00B004D8">
      <w:pPr>
        <w:jc w:val="both"/>
        <w:rPr>
          <w:rFonts w:eastAsia="Times New Roman"/>
          <w:bCs/>
          <w:lang w:val="en-PH"/>
        </w:rPr>
      </w:pPr>
      <w:r w:rsidRPr="00A22B64">
        <w:rPr>
          <w:rFonts w:eastAsia="Times New Roman"/>
          <w:bCs/>
          <w:u w:val="single"/>
          <w:lang w:val="en-PH"/>
        </w:rPr>
        <w:t>Third-Party Risk Management Becomes Structural: US CFTC Proposes Embedded TPRM for DCOs</w:t>
      </w:r>
    </w:p>
    <w:p w14:paraId="7E4BAB51" w14:textId="77777777" w:rsidR="00B004D8" w:rsidRPr="00A22B64" w:rsidRDefault="00B004D8" w:rsidP="00B004D8">
      <w:pPr>
        <w:jc w:val="both"/>
        <w:rPr>
          <w:rFonts w:eastAsia="Times New Roman"/>
          <w:bCs/>
          <w:lang w:val="en-PH"/>
        </w:rPr>
      </w:pPr>
      <w:r w:rsidRPr="00A22B64">
        <w:rPr>
          <w:rFonts w:eastAsia="Times New Roman"/>
          <w:bCs/>
          <w:lang w:val="en-PH"/>
        </w:rPr>
        <w:t>Commissioner Johnson announced MRAC’s recommendation to enhance Rule 39.18 with formal Third-Party Risk Management (</w:t>
      </w:r>
      <w:r w:rsidRPr="00A22B64">
        <w:rPr>
          <w:rFonts w:eastAsia="Times New Roman"/>
          <w:b/>
          <w:bCs/>
          <w:lang w:val="en-PH"/>
        </w:rPr>
        <w:t>TPRM</w:t>
      </w:r>
      <w:r w:rsidRPr="00A22B64">
        <w:rPr>
          <w:rFonts w:eastAsia="Times New Roman"/>
          <w:bCs/>
          <w:lang w:val="en-PH"/>
        </w:rPr>
        <w:t>) requirements. This would compel Derivatives Clearing Organizations (</w:t>
      </w:r>
      <w:r w:rsidRPr="00A22B64">
        <w:rPr>
          <w:rFonts w:eastAsia="Times New Roman"/>
          <w:b/>
          <w:bCs/>
          <w:lang w:val="en-PH"/>
        </w:rPr>
        <w:t>DCOs</w:t>
      </w:r>
      <w:r w:rsidRPr="00A22B64">
        <w:rPr>
          <w:rFonts w:eastAsia="Times New Roman"/>
          <w:bCs/>
          <w:lang w:val="en-PH"/>
        </w:rPr>
        <w:t>) to implement TPRM programmes with full lifecycle oversight such as onboarding, performance monitoring, and exit strategies. The goal is to regulate not only the systems within firms, but also the AI ecosystems surrounding them. Expect regulatory expansion of TPRM across swap dealers, FCMs, and critical infrastructure providers. Compliance officers should pre-emptively map their third-party AI service dependencies like cloud providers, LLM vendors, APIs, and introduce risk-weighted controls, SLA-based accountability, and contingency planning aligned with proposed US CFTC frameworks.</w:t>
      </w:r>
    </w:p>
    <w:p w14:paraId="37F84F24" w14:textId="77777777" w:rsidR="00B004D8" w:rsidRPr="00A22B64" w:rsidRDefault="00B004D8" w:rsidP="00B004D8">
      <w:pPr>
        <w:jc w:val="both"/>
        <w:rPr>
          <w:rFonts w:eastAsia="Times New Roman"/>
          <w:bCs/>
          <w:lang w:val="en-PH"/>
        </w:rPr>
      </w:pPr>
      <w:r w:rsidRPr="00A22B64">
        <w:rPr>
          <w:rFonts w:eastAsia="Times New Roman"/>
          <w:bCs/>
          <w:lang w:val="en-PH"/>
        </w:rPr>
        <w:t>Commissioner Johnson’s remarks shed lights on the US CFTC’s forward-leaning yet prudential posture toward AI. The Commission is neither resistant to innovation nor blind to its risks. Instead, it is building a supervisory framework that aligns AI usage with financial stability, fairness, and technological accountability. Markets, in her words, must be “fit-for-purpose</w:t>
      </w:r>
      <w:r>
        <w:rPr>
          <w:rFonts w:eastAsia="Times New Roman"/>
          <w:bCs/>
          <w:lang w:val="en-PH"/>
        </w:rPr>
        <w:t>,</w:t>
      </w:r>
      <w:r w:rsidRPr="00A22B64">
        <w:rPr>
          <w:rFonts w:eastAsia="Times New Roman"/>
          <w:bCs/>
          <w:lang w:val="en-PH"/>
        </w:rPr>
        <w:t xml:space="preserve">” a mandate that applies equally to infrastructure, innovation, and investor protection. Regulated firms should treat this speech as regulatory </w:t>
      </w:r>
      <w:r w:rsidRPr="00A22B64">
        <w:rPr>
          <w:rFonts w:eastAsia="Times New Roman"/>
          <w:bCs/>
          <w:lang w:val="en-PH"/>
        </w:rPr>
        <w:lastRenderedPageBreak/>
        <w:t>signalling: AI is now a formal vector of compliance scrutiny. Governance documentation, SupTech integration, adversarial risk testing, and agentic AI lifecycle policies should be embedded into firmwide controls. The US CFTC is laying the foundation for AI-inclusive financial supervision, and it will reward foresight, but penalise negligence.</w:t>
      </w:r>
    </w:p>
    <w:p w14:paraId="05B56F05" w14:textId="1F8B3308" w:rsidR="00B004D8" w:rsidRPr="000976A9" w:rsidRDefault="00B004D8" w:rsidP="00812AEA">
      <w:pPr>
        <w:jc w:val="both"/>
        <w:rPr>
          <w:rFonts w:eastAsia="Times New Roman"/>
          <w:bCs/>
          <w:lang w:val="en-PH"/>
        </w:rPr>
      </w:pPr>
      <w:r w:rsidRPr="00A22B64">
        <w:rPr>
          <w:rFonts w:eastAsia="Times New Roman"/>
          <w:bCs/>
          <w:lang w:val="en-PH"/>
        </w:rPr>
        <w:t>(Source: </w:t>
      </w:r>
      <w:hyperlink r:id="rId33" w:tgtFrame="_blank" w:history="1">
        <w:r w:rsidRPr="00A22B64">
          <w:rPr>
            <w:rStyle w:val="Hyperlink"/>
            <w:rFonts w:eastAsia="Times New Roman"/>
            <w:bCs/>
            <w:color w:val="FF6E00"/>
            <w:lang w:val="en-PH"/>
          </w:rPr>
          <w:t>https://www.cftc.gov/PressRoom/SpeechesTestimony/opajohnson19</w:t>
        </w:r>
      </w:hyperlink>
      <w:r w:rsidRPr="00A22B64">
        <w:rPr>
          <w:rFonts w:eastAsia="Times New Roman"/>
          <w:bCs/>
          <w:lang w:val="en-PH"/>
        </w:rPr>
        <w:t>)</w:t>
      </w:r>
    </w:p>
    <w:p w14:paraId="3660DEFF" w14:textId="77777777" w:rsidR="00E4055D" w:rsidRDefault="00E4055D" w:rsidP="00812AEA">
      <w:pPr>
        <w:jc w:val="both"/>
        <w:rPr>
          <w:rFonts w:eastAsia="Times New Roman"/>
          <w:bCs/>
          <w:lang w:val="en-PH"/>
        </w:rPr>
      </w:pPr>
    </w:p>
    <w:p w14:paraId="7B673AAD" w14:textId="55DCA653" w:rsidR="00E4055D" w:rsidRPr="00EC4C57" w:rsidRDefault="00E8326B" w:rsidP="00812AEA">
      <w:pPr>
        <w:jc w:val="both"/>
        <w:rPr>
          <w:b/>
          <w:bCs/>
          <w:color w:val="FF6E00"/>
          <w:lang w:val="en-PH"/>
        </w:rPr>
      </w:pPr>
      <w:r w:rsidRPr="00E8326B">
        <w:rPr>
          <w:b/>
          <w:bCs/>
          <w:color w:val="FF6E00"/>
          <w:lang w:val="en-PH"/>
        </w:rPr>
        <w:t>US SEC Division of Corporation Finance Clarifies Regulatory Status of Crypto Protocol Staking Under US Federal Securities Laws</w:t>
      </w:r>
    </w:p>
    <w:p w14:paraId="618CE811" w14:textId="63D3DAB8" w:rsidR="00E8326B" w:rsidRPr="00E8326B" w:rsidRDefault="00E8326B" w:rsidP="00812AEA">
      <w:pPr>
        <w:jc w:val="both"/>
        <w:rPr>
          <w:rFonts w:eastAsia="Times New Roman"/>
          <w:bCs/>
          <w:lang w:val="en-PH"/>
        </w:rPr>
      </w:pPr>
      <w:r w:rsidRPr="00E8326B">
        <w:rPr>
          <w:rFonts w:eastAsia="Times New Roman"/>
          <w:bCs/>
          <w:lang w:val="en-PH"/>
        </w:rPr>
        <w:t>On 29 May 2025, the Division of Corporation Finance of the United States Securities and Exchange Commission (</w:t>
      </w:r>
      <w:r w:rsidRPr="00E8326B">
        <w:rPr>
          <w:rFonts w:eastAsia="Times New Roman"/>
          <w:b/>
          <w:bCs/>
          <w:lang w:val="en-PH"/>
        </w:rPr>
        <w:t>US SEC</w:t>
      </w:r>
      <w:r w:rsidRPr="00E8326B">
        <w:rPr>
          <w:rFonts w:eastAsia="Times New Roman"/>
          <w:bCs/>
          <w:lang w:val="en-PH"/>
        </w:rPr>
        <w:t>) issued an interpretive statement titled </w:t>
      </w:r>
      <w:r w:rsidRPr="00E8326B">
        <w:rPr>
          <w:rFonts w:eastAsia="Times New Roman"/>
          <w:bCs/>
          <w:i/>
          <w:iCs/>
          <w:lang w:val="en-PH"/>
        </w:rPr>
        <w:t>“</w:t>
      </w:r>
      <w:hyperlink r:id="rId34" w:tgtFrame="_blank" w:history="1">
        <w:r w:rsidRPr="00E8326B">
          <w:rPr>
            <w:rStyle w:val="Hyperlink"/>
            <w:rFonts w:eastAsia="Times New Roman"/>
            <w:bCs/>
            <w:i/>
            <w:iCs/>
            <w:color w:val="FF6E00"/>
            <w:u w:val="none"/>
            <w:lang w:val="en-PH"/>
          </w:rPr>
          <w:t>Statement on Certain Protocol Staking Activities</w:t>
        </w:r>
      </w:hyperlink>
      <w:r w:rsidRPr="00E8326B">
        <w:rPr>
          <w:rFonts w:eastAsia="Times New Roman"/>
          <w:bCs/>
          <w:i/>
          <w:iCs/>
          <w:lang w:val="en-PH"/>
        </w:rPr>
        <w:t>.”</w:t>
      </w:r>
      <w:r w:rsidRPr="00E8326B">
        <w:rPr>
          <w:rFonts w:eastAsia="Times New Roman"/>
          <w:bCs/>
          <w:lang w:val="en-PH"/>
        </w:rPr>
        <w:t> This statement provides the US SEC Division of Corporation Finance’s views on whether specific staking arrangements on public, permissionless networks that use proof-of-stake (</w:t>
      </w:r>
      <w:r w:rsidRPr="00E8326B">
        <w:rPr>
          <w:rFonts w:eastAsia="Times New Roman"/>
          <w:b/>
          <w:bCs/>
          <w:lang w:val="en-PH"/>
        </w:rPr>
        <w:t>PoS</w:t>
      </w:r>
      <w:r w:rsidRPr="00E8326B">
        <w:rPr>
          <w:rFonts w:eastAsia="Times New Roman"/>
          <w:bCs/>
          <w:lang w:val="en-PH"/>
        </w:rPr>
        <w:t xml:space="preserve">) consensus mechanisms involve the offer or sale of securities under the United States Securities Act of 1933 and the United States </w:t>
      </w:r>
      <w:hyperlink r:id="rId35" w:history="1">
        <w:r w:rsidRPr="00080AA7">
          <w:rPr>
            <w:rStyle w:val="Hyperlink"/>
            <w:rFonts w:eastAsia="Times New Roman"/>
            <w:bCs/>
            <w:color w:val="FF6E00"/>
            <w:u w:val="none"/>
            <w:lang w:val="en-PH"/>
          </w:rPr>
          <w:t>Securities Exchange Act of 1934</w:t>
        </w:r>
      </w:hyperlink>
      <w:r w:rsidRPr="00E8326B">
        <w:rPr>
          <w:rFonts w:eastAsia="Times New Roman"/>
          <w:bCs/>
          <w:lang w:val="en-PH"/>
        </w:rPr>
        <w:t>. The analysis applies the legal test established in </w:t>
      </w:r>
      <w:r w:rsidRPr="00E8326B">
        <w:rPr>
          <w:rFonts w:eastAsia="Times New Roman"/>
          <w:bCs/>
          <w:i/>
          <w:iCs/>
          <w:lang w:val="en-PH"/>
        </w:rPr>
        <w:t>SEC v. W.J. Howey Co.</w:t>
      </w:r>
      <w:r w:rsidRPr="00E8326B">
        <w:rPr>
          <w:rFonts w:eastAsia="Times New Roman"/>
          <w:bCs/>
          <w:lang w:val="en-PH"/>
        </w:rPr>
        <w:t xml:space="preserve"> (1946) to self-staking, third-party delegated staking, and custodial staking models involving crypto assets that are integral to the operation of PoS networks—referred to as “Covered Crypto Assets.” The US SEC Division of Corporation Finance concluded that when staking activities are merely administrative or ministerial and do not depend on the entrepreneurial or managerial efforts of others, such activities do not fall within the statutory definition of a security. Although the statement does not carry the binding force of law, it provides compliance clarity for entities engaged in staking-related services. Crypto Staking service providers, validators, and custodial platforms must structure their services in a manner that avoids discretionary </w:t>
      </w:r>
      <w:proofErr w:type="gramStart"/>
      <w:r w:rsidRPr="00E8326B">
        <w:rPr>
          <w:rFonts w:eastAsia="Times New Roman"/>
          <w:bCs/>
          <w:lang w:val="en-PH"/>
        </w:rPr>
        <w:t>control</w:t>
      </w:r>
      <w:proofErr w:type="gramEnd"/>
      <w:r w:rsidRPr="00E8326B">
        <w:rPr>
          <w:rFonts w:eastAsia="Times New Roman"/>
          <w:bCs/>
          <w:lang w:val="en-PH"/>
        </w:rPr>
        <w:t xml:space="preserve"> or revenue guarantees and clearly distinguishes staking activities from investment contracts.</w:t>
      </w:r>
    </w:p>
    <w:p w14:paraId="75AFCE9B" w14:textId="77777777" w:rsidR="00E8326B" w:rsidRPr="00E8326B" w:rsidRDefault="00E8326B" w:rsidP="00812AEA">
      <w:pPr>
        <w:jc w:val="both"/>
        <w:rPr>
          <w:rFonts w:eastAsia="Times New Roman"/>
          <w:bCs/>
          <w:lang w:val="en-PH"/>
        </w:rPr>
      </w:pPr>
      <w:r w:rsidRPr="00E8326B">
        <w:rPr>
          <w:rFonts w:eastAsia="Times New Roman"/>
          <w:bCs/>
          <w:u w:val="single"/>
          <w:lang w:val="en-PH"/>
        </w:rPr>
        <w:t>Definitions</w:t>
      </w:r>
    </w:p>
    <w:p w14:paraId="2072B464" w14:textId="77777777" w:rsidR="00C12426" w:rsidRPr="00C12426" w:rsidRDefault="00E8326B" w:rsidP="00812AEA">
      <w:pPr>
        <w:jc w:val="both"/>
        <w:rPr>
          <w:rFonts w:eastAsia="Times New Roman"/>
          <w:bCs/>
          <w:u w:val="single"/>
          <w:lang w:val="en-PH"/>
        </w:rPr>
      </w:pPr>
      <w:r w:rsidRPr="00E8326B">
        <w:rPr>
          <w:rFonts w:eastAsia="Times New Roman"/>
          <w:b/>
          <w:bCs/>
          <w:i/>
          <w:iCs/>
          <w:u w:val="single"/>
          <w:lang w:val="en-PH"/>
        </w:rPr>
        <w:t>Cryptoasset:</w:t>
      </w:r>
    </w:p>
    <w:p w14:paraId="749608DE" w14:textId="5F10BEC0" w:rsidR="00E8326B" w:rsidRPr="00E8326B" w:rsidRDefault="00E8326B" w:rsidP="00812AEA">
      <w:pPr>
        <w:jc w:val="both"/>
        <w:rPr>
          <w:rFonts w:eastAsia="Times New Roman"/>
          <w:bCs/>
          <w:lang w:val="en-PH"/>
        </w:rPr>
      </w:pPr>
      <w:r w:rsidRPr="00E8326B">
        <w:rPr>
          <w:rFonts w:eastAsia="Times New Roman"/>
          <w:bCs/>
          <w:lang w:val="en-PH"/>
        </w:rPr>
        <w:t>For the purposes of this statement, a </w:t>
      </w:r>
      <w:r w:rsidRPr="00E8326B">
        <w:rPr>
          <w:rFonts w:eastAsia="Times New Roman"/>
          <w:bCs/>
          <w:i/>
          <w:iCs/>
          <w:lang w:val="en-PH"/>
        </w:rPr>
        <w:t>crypto asset</w:t>
      </w:r>
      <w:r w:rsidRPr="00E8326B">
        <w:rPr>
          <w:rFonts w:eastAsia="Times New Roman"/>
          <w:bCs/>
          <w:lang w:val="en-PH"/>
        </w:rPr>
        <w:t> is defined as a digital asset generated, issued, and/or transferred using blockchain or similar distributed ledger technology. This includes “tokens,” “coins,” “digital assets,” and “virtual currencies,” and depends upon cryptographic protocols for security and functionality.</w:t>
      </w:r>
    </w:p>
    <w:p w14:paraId="019109CA" w14:textId="77777777" w:rsidR="00C12426" w:rsidRDefault="00E8326B" w:rsidP="00812AEA">
      <w:pPr>
        <w:jc w:val="both"/>
        <w:rPr>
          <w:rFonts w:eastAsia="Times New Roman"/>
          <w:bCs/>
          <w:lang w:val="en-PH"/>
        </w:rPr>
      </w:pPr>
      <w:r w:rsidRPr="00E8326B">
        <w:rPr>
          <w:rFonts w:eastAsia="Times New Roman"/>
          <w:b/>
          <w:bCs/>
          <w:i/>
          <w:iCs/>
          <w:u w:val="single"/>
          <w:lang w:val="en-PH"/>
        </w:rPr>
        <w:t>Network:</w:t>
      </w:r>
    </w:p>
    <w:p w14:paraId="3ADF1087" w14:textId="630CEA9A" w:rsidR="00E8326B" w:rsidRPr="00E8326B" w:rsidRDefault="00E8326B" w:rsidP="00812AEA">
      <w:pPr>
        <w:jc w:val="both"/>
        <w:rPr>
          <w:rFonts w:eastAsia="Times New Roman"/>
          <w:bCs/>
          <w:lang w:val="en-PH"/>
        </w:rPr>
      </w:pPr>
      <w:r w:rsidRPr="00E8326B">
        <w:rPr>
          <w:rFonts w:eastAsia="Times New Roman"/>
          <w:bCs/>
          <w:lang w:val="en-PH"/>
        </w:rPr>
        <w:t>A </w:t>
      </w:r>
      <w:r w:rsidRPr="00E8326B">
        <w:rPr>
          <w:rFonts w:eastAsia="Times New Roman"/>
          <w:bCs/>
          <w:i/>
          <w:iCs/>
          <w:lang w:val="en-PH"/>
        </w:rPr>
        <w:t>network</w:t>
      </w:r>
      <w:r w:rsidRPr="00E8326B">
        <w:rPr>
          <w:rFonts w:eastAsia="Times New Roman"/>
          <w:bCs/>
          <w:lang w:val="en-PH"/>
        </w:rPr>
        <w:t> refers to a crypto network, a decentralised digital infrastructure based on blockchain or distributed ledger technology where transactions and data are recorded immutably.</w:t>
      </w:r>
    </w:p>
    <w:p w14:paraId="1A89E9D4" w14:textId="77777777" w:rsidR="00E8326B" w:rsidRPr="00E8326B" w:rsidRDefault="00E8326B" w:rsidP="00812AEA">
      <w:pPr>
        <w:jc w:val="both"/>
        <w:rPr>
          <w:rFonts w:eastAsia="Times New Roman"/>
          <w:bCs/>
          <w:u w:val="single"/>
          <w:lang w:val="en-PH"/>
        </w:rPr>
      </w:pPr>
      <w:r w:rsidRPr="00E8326B">
        <w:rPr>
          <w:rFonts w:eastAsia="Times New Roman"/>
          <w:b/>
          <w:bCs/>
          <w:i/>
          <w:iCs/>
          <w:u w:val="single"/>
          <w:lang w:val="en-PH"/>
        </w:rPr>
        <w:t>Covered Crypto Asset:</w:t>
      </w:r>
    </w:p>
    <w:p w14:paraId="37DC3B3D" w14:textId="77777777" w:rsidR="00E8326B" w:rsidRPr="00E8326B" w:rsidRDefault="00E8326B" w:rsidP="00812AEA">
      <w:pPr>
        <w:jc w:val="both"/>
        <w:rPr>
          <w:rFonts w:eastAsia="Times New Roman"/>
          <w:bCs/>
          <w:lang w:val="en-PH"/>
        </w:rPr>
      </w:pPr>
      <w:r w:rsidRPr="00E8326B">
        <w:rPr>
          <w:rFonts w:eastAsia="Times New Roman"/>
          <w:bCs/>
          <w:lang w:val="en-PH"/>
        </w:rPr>
        <w:t>A </w:t>
      </w:r>
      <w:r w:rsidRPr="00E8326B">
        <w:rPr>
          <w:rFonts w:eastAsia="Times New Roman"/>
          <w:bCs/>
          <w:i/>
          <w:iCs/>
          <w:lang w:val="en-PH"/>
        </w:rPr>
        <w:t>Covered Crypto Asset</w:t>
      </w:r>
      <w:r w:rsidRPr="00E8326B">
        <w:rPr>
          <w:rFonts w:eastAsia="Times New Roman"/>
          <w:bCs/>
          <w:lang w:val="en-PH"/>
        </w:rPr>
        <w:t> is a crypto asset that is intrinsically linked to the operation of a PoS network and used in the execution, validation, or maintenance of its consensus mechanism. These assets do not have standalone economic rights such as yields, profit claims, or entitlements to business income.</w:t>
      </w:r>
    </w:p>
    <w:p w14:paraId="16D9691B" w14:textId="77777777" w:rsidR="00E8326B" w:rsidRPr="00E8326B" w:rsidRDefault="00E8326B" w:rsidP="00812AEA">
      <w:pPr>
        <w:jc w:val="both"/>
        <w:rPr>
          <w:rFonts w:eastAsia="Times New Roman"/>
          <w:bCs/>
          <w:u w:val="single"/>
          <w:lang w:val="en-PH"/>
        </w:rPr>
      </w:pPr>
      <w:r w:rsidRPr="00E8326B">
        <w:rPr>
          <w:rFonts w:eastAsia="Times New Roman"/>
          <w:b/>
          <w:bCs/>
          <w:i/>
          <w:iCs/>
          <w:u w:val="single"/>
          <w:lang w:val="en-PH"/>
        </w:rPr>
        <w:t>Protocol Staking:</w:t>
      </w:r>
    </w:p>
    <w:p w14:paraId="2DA1F166" w14:textId="77777777" w:rsidR="00E8326B" w:rsidRPr="00E8326B" w:rsidRDefault="00E8326B" w:rsidP="00812AEA">
      <w:pPr>
        <w:jc w:val="both"/>
        <w:rPr>
          <w:rFonts w:eastAsia="Times New Roman"/>
          <w:bCs/>
          <w:lang w:val="en-PH"/>
        </w:rPr>
      </w:pPr>
      <w:r w:rsidRPr="00E8326B">
        <w:rPr>
          <w:rFonts w:eastAsia="Times New Roman"/>
          <w:bCs/>
          <w:i/>
          <w:iCs/>
          <w:lang w:val="en-PH"/>
        </w:rPr>
        <w:lastRenderedPageBreak/>
        <w:t>Protocol Staking</w:t>
      </w:r>
      <w:r w:rsidRPr="00E8326B">
        <w:rPr>
          <w:rFonts w:eastAsia="Times New Roman"/>
          <w:bCs/>
          <w:lang w:val="en-PH"/>
        </w:rPr>
        <w:t> refers to the process whereby participants stake Covered Crypto Assets on a PoS network to validate transactions, update the blockchain, and secure the network, thereby earning protocol-defined rewards. It includes activities by solo stakers, delegates, and custodial agents.</w:t>
      </w:r>
    </w:p>
    <w:p w14:paraId="38B69F8F" w14:textId="77777777" w:rsidR="00E8326B" w:rsidRPr="00E8326B" w:rsidRDefault="00E8326B" w:rsidP="00812AEA">
      <w:pPr>
        <w:jc w:val="both"/>
        <w:rPr>
          <w:rFonts w:eastAsia="Times New Roman"/>
          <w:bCs/>
          <w:u w:val="single"/>
          <w:lang w:val="en-PH"/>
        </w:rPr>
      </w:pPr>
      <w:r w:rsidRPr="00E8326B">
        <w:rPr>
          <w:rFonts w:eastAsia="Times New Roman"/>
          <w:b/>
          <w:bCs/>
          <w:i/>
          <w:iCs/>
          <w:u w:val="single"/>
          <w:lang w:val="en-PH"/>
        </w:rPr>
        <w:t>Service Providers:</w:t>
      </w:r>
    </w:p>
    <w:p w14:paraId="5114120E" w14:textId="77777777" w:rsidR="00E8326B" w:rsidRPr="00E8326B" w:rsidRDefault="00E8326B" w:rsidP="00812AEA">
      <w:pPr>
        <w:jc w:val="both"/>
        <w:rPr>
          <w:rFonts w:eastAsia="Times New Roman"/>
          <w:bCs/>
          <w:lang w:val="en-PH"/>
        </w:rPr>
      </w:pPr>
      <w:r w:rsidRPr="00E8326B">
        <w:rPr>
          <w:rFonts w:eastAsia="Times New Roman"/>
          <w:bCs/>
          <w:i/>
          <w:iCs/>
          <w:lang w:val="en-PH"/>
        </w:rPr>
        <w:t>Service Providers</w:t>
      </w:r>
      <w:r w:rsidRPr="00E8326B">
        <w:rPr>
          <w:rFonts w:eastAsia="Times New Roman"/>
          <w:bCs/>
          <w:lang w:val="en-PH"/>
        </w:rPr>
        <w:t> in this context include third-party entities engaged in staking-related functions such as Node Operators, Validators, Custodians, Delegates, and Nominators, either directly or via ancillary services like slashing coverage or reward scheduling.</w:t>
      </w:r>
    </w:p>
    <w:p w14:paraId="0A058C83" w14:textId="77777777" w:rsidR="00E8326B" w:rsidRPr="00E8326B" w:rsidRDefault="00E8326B" w:rsidP="00812AEA">
      <w:pPr>
        <w:jc w:val="both"/>
        <w:rPr>
          <w:rFonts w:eastAsia="Times New Roman"/>
          <w:bCs/>
          <w:u w:val="single"/>
          <w:lang w:val="en-PH"/>
        </w:rPr>
      </w:pPr>
      <w:r w:rsidRPr="00E8326B">
        <w:rPr>
          <w:rFonts w:eastAsia="Times New Roman"/>
          <w:b/>
          <w:bCs/>
          <w:i/>
          <w:iCs/>
          <w:u w:val="single"/>
          <w:lang w:val="en-PH"/>
        </w:rPr>
        <w:t>Ancillary Services:</w:t>
      </w:r>
    </w:p>
    <w:p w14:paraId="11EC46DF" w14:textId="77777777" w:rsidR="00E8326B" w:rsidRPr="00E8326B" w:rsidRDefault="00E8326B" w:rsidP="00812AEA">
      <w:pPr>
        <w:jc w:val="both"/>
        <w:rPr>
          <w:rFonts w:eastAsia="Times New Roman"/>
          <w:bCs/>
          <w:lang w:val="en-PH"/>
        </w:rPr>
      </w:pPr>
      <w:r w:rsidRPr="00E8326B">
        <w:rPr>
          <w:rFonts w:eastAsia="Times New Roman"/>
          <w:bCs/>
          <w:i/>
          <w:iCs/>
          <w:lang w:val="en-PH"/>
        </w:rPr>
        <w:t>Ancillary Services</w:t>
      </w:r>
      <w:r w:rsidRPr="00E8326B">
        <w:rPr>
          <w:rFonts w:eastAsia="Times New Roman"/>
          <w:bCs/>
          <w:lang w:val="en-PH"/>
        </w:rPr>
        <w:t> are add-on administrative or logistical services that support protocol staking but do not constitute managerial or entrepreneurial efforts under securities law analysis. These may include slashing indemnity, early unbonding, alternative reward distribution, and stake aggregation.</w:t>
      </w:r>
    </w:p>
    <w:p w14:paraId="3067A537" w14:textId="77777777" w:rsidR="00E8326B" w:rsidRPr="00E8326B" w:rsidRDefault="00E8326B" w:rsidP="00812AEA">
      <w:pPr>
        <w:jc w:val="both"/>
        <w:rPr>
          <w:rFonts w:eastAsia="Times New Roman"/>
          <w:b/>
          <w:u w:val="single"/>
          <w:lang w:val="en-PH"/>
        </w:rPr>
      </w:pPr>
      <w:r w:rsidRPr="00E8326B">
        <w:rPr>
          <w:rFonts w:eastAsia="Times New Roman"/>
          <w:b/>
          <w:i/>
          <w:iCs/>
          <w:u w:val="single"/>
          <w:lang w:val="en-PH"/>
        </w:rPr>
        <w:t>Compliance Perspective:</w:t>
      </w:r>
    </w:p>
    <w:p w14:paraId="1339FE68" w14:textId="77777777" w:rsidR="00E8326B" w:rsidRPr="00E8326B" w:rsidRDefault="00E8326B" w:rsidP="00812AEA">
      <w:pPr>
        <w:jc w:val="both"/>
        <w:rPr>
          <w:rFonts w:eastAsia="Times New Roman"/>
          <w:bCs/>
          <w:lang w:val="en-PH"/>
        </w:rPr>
      </w:pPr>
      <w:r w:rsidRPr="00E8326B">
        <w:rPr>
          <w:rFonts w:eastAsia="Times New Roman"/>
          <w:bCs/>
          <w:lang w:val="en-PH"/>
        </w:rPr>
        <w:t>Crypto entities must ensure these terms are reflected precisely in their internal documentation, consumer interfaces, and risk statements. Misclassification or imprecise communication may attract regulatory scrutiny under the “economic reality” test even if the activity appears compliant.</w:t>
      </w:r>
    </w:p>
    <w:p w14:paraId="32E1A3F0" w14:textId="77777777" w:rsidR="00E8326B" w:rsidRPr="00E8326B" w:rsidRDefault="00E8326B" w:rsidP="00812AEA">
      <w:pPr>
        <w:jc w:val="both"/>
        <w:rPr>
          <w:rFonts w:eastAsia="Times New Roman"/>
          <w:bCs/>
          <w:lang w:val="en-PH"/>
        </w:rPr>
      </w:pPr>
      <w:r w:rsidRPr="00E8326B">
        <w:rPr>
          <w:rFonts w:eastAsia="Times New Roman"/>
          <w:bCs/>
          <w:u w:val="single"/>
          <w:lang w:val="en-PH"/>
        </w:rPr>
        <w:t>Protocol Staking and Consensus Structure</w:t>
      </w:r>
    </w:p>
    <w:p w14:paraId="155B04F5" w14:textId="77777777" w:rsidR="00E8326B" w:rsidRPr="00E8326B" w:rsidRDefault="00E8326B" w:rsidP="00812AEA">
      <w:pPr>
        <w:jc w:val="both"/>
        <w:rPr>
          <w:rFonts w:eastAsia="Times New Roman"/>
          <w:bCs/>
          <w:lang w:val="en-PH"/>
        </w:rPr>
      </w:pPr>
      <w:r w:rsidRPr="00E8326B">
        <w:rPr>
          <w:rFonts w:eastAsia="Times New Roman"/>
          <w:bCs/>
          <w:lang w:val="en-PH"/>
        </w:rPr>
        <w:t>The US SEC Division of Corporation Finance explains that PoS networks rely on a cryptographically enforced consensus mechanism that rewards Validators for confirming network transactions. To qualify as a Validator, a Node Operator must “stake” Covered Crypto Assets through the network’s software protocol. The staked assets are locked via smart contracts, and in return, Validators earn newly minted tokens and transaction fees. Crypto entities must ensure that staking rewards are protocol-driven and non-guaranteed. Any deviation, such as fixed return schemes or discretionary pooling, may recharacterise the activity as a security offering.</w:t>
      </w:r>
    </w:p>
    <w:p w14:paraId="5FD9EB84" w14:textId="77777777" w:rsidR="00E8326B" w:rsidRPr="00E8326B" w:rsidRDefault="00E8326B" w:rsidP="00812AEA">
      <w:pPr>
        <w:jc w:val="both"/>
        <w:rPr>
          <w:rFonts w:eastAsia="Times New Roman"/>
          <w:bCs/>
          <w:lang w:val="en-PH"/>
        </w:rPr>
      </w:pPr>
      <w:r w:rsidRPr="00E8326B">
        <w:rPr>
          <w:rFonts w:eastAsia="Times New Roman"/>
          <w:bCs/>
          <w:u w:val="single"/>
          <w:lang w:val="en-PH"/>
        </w:rPr>
        <w:t>Self (or Solo) Staking is Ministerial, Not an Investment Contract</w:t>
      </w:r>
    </w:p>
    <w:p w14:paraId="462D0FDA" w14:textId="77777777" w:rsidR="00E8326B" w:rsidRPr="00E8326B" w:rsidRDefault="00E8326B" w:rsidP="00812AEA">
      <w:pPr>
        <w:jc w:val="both"/>
        <w:rPr>
          <w:rFonts w:eastAsia="Times New Roman"/>
          <w:bCs/>
          <w:lang w:val="en-PH"/>
        </w:rPr>
      </w:pPr>
      <w:r w:rsidRPr="00E8326B">
        <w:rPr>
          <w:rFonts w:eastAsia="Times New Roman"/>
          <w:bCs/>
          <w:lang w:val="en-PH"/>
        </w:rPr>
        <w:t>According to the US SEC Division of Corporation Finance, when a Node Operator stakes its own Covered Crypto Assets and validates transactions directly, the activity does not satisfy the “efforts of others” prong of the </w:t>
      </w:r>
      <w:r w:rsidRPr="00E8326B">
        <w:rPr>
          <w:rFonts w:eastAsia="Times New Roman"/>
          <w:bCs/>
          <w:i/>
          <w:iCs/>
          <w:lang w:val="en-PH"/>
        </w:rPr>
        <w:t>Howey</w:t>
      </w:r>
      <w:r w:rsidRPr="00E8326B">
        <w:rPr>
          <w:rFonts w:eastAsia="Times New Roman"/>
          <w:bCs/>
          <w:lang w:val="en-PH"/>
        </w:rPr>
        <w:t> test. The Node Operator’s reward is tied to its own technical participation and not to the success of any entrepreneurial venture led by a third party. Crypto entities facilitating solo staking should document and disclose that the staker retains full custody, makes independent operational decisions, and earns protocol-level rewards. Platform features must not introduce passive earning elements or third-party performance dependencies.</w:t>
      </w:r>
    </w:p>
    <w:p w14:paraId="49C6036C" w14:textId="77777777" w:rsidR="00E8326B" w:rsidRPr="00E8326B" w:rsidRDefault="00E8326B" w:rsidP="00812AEA">
      <w:pPr>
        <w:jc w:val="both"/>
        <w:rPr>
          <w:rFonts w:eastAsia="Times New Roman"/>
          <w:bCs/>
          <w:lang w:val="en-PH"/>
        </w:rPr>
      </w:pPr>
      <w:r w:rsidRPr="00E8326B">
        <w:rPr>
          <w:rFonts w:eastAsia="Times New Roman"/>
          <w:bCs/>
          <w:u w:val="single"/>
          <w:lang w:val="en-PH"/>
        </w:rPr>
        <w:t>Delegated Self-Custodial Staking Remains Outside Securities Scope</w:t>
      </w:r>
    </w:p>
    <w:p w14:paraId="4C7E2F49" w14:textId="77777777" w:rsidR="00E8326B" w:rsidRPr="00E8326B" w:rsidRDefault="00E8326B" w:rsidP="00812AEA">
      <w:pPr>
        <w:jc w:val="both"/>
        <w:rPr>
          <w:rFonts w:eastAsia="Times New Roman"/>
          <w:bCs/>
          <w:lang w:val="en-PH"/>
        </w:rPr>
      </w:pPr>
      <w:r w:rsidRPr="00E8326B">
        <w:rPr>
          <w:rFonts w:eastAsia="Times New Roman"/>
          <w:bCs/>
          <w:lang w:val="en-PH"/>
        </w:rPr>
        <w:t xml:space="preserve">In models where asset owners delegate validation rights to a Node Operator while retaining control over their assets and private keys, the US SEC Division of Corporation Finance maintains that rewards are not the result of others’ managerial efforts. The Node Operator merely performs automated or mechanical tasks without discretion over asset management or reward structuring. Crypto firms supporting delegated staking must ensure the validator operates purely as an agent, not as a manager or reward guarantor. Any </w:t>
      </w:r>
      <w:r w:rsidRPr="00E8326B">
        <w:rPr>
          <w:rFonts w:eastAsia="Times New Roman"/>
          <w:bCs/>
          <w:lang w:val="en-PH"/>
        </w:rPr>
        <w:lastRenderedPageBreak/>
        <w:t>terms suggesting strategic decision-making, yield generation, or portfolio optimisation would likely trigger securities analysis.</w:t>
      </w:r>
    </w:p>
    <w:p w14:paraId="1FE8D053" w14:textId="77777777" w:rsidR="00E8326B" w:rsidRPr="00E8326B" w:rsidRDefault="00E8326B" w:rsidP="00812AEA">
      <w:pPr>
        <w:jc w:val="both"/>
        <w:rPr>
          <w:rFonts w:eastAsia="Times New Roman"/>
          <w:bCs/>
          <w:lang w:val="en-PH"/>
        </w:rPr>
      </w:pPr>
      <w:r w:rsidRPr="00E8326B">
        <w:rPr>
          <w:rFonts w:eastAsia="Times New Roman"/>
          <w:bCs/>
          <w:u w:val="single"/>
          <w:lang w:val="en-PH"/>
        </w:rPr>
        <w:t>Custodial Staking is Permissible if the Custodian Acts as an Agent</w:t>
      </w:r>
    </w:p>
    <w:p w14:paraId="418CBA99" w14:textId="77777777" w:rsidR="00E8326B" w:rsidRPr="00E8326B" w:rsidRDefault="00E8326B" w:rsidP="00812AEA">
      <w:pPr>
        <w:jc w:val="both"/>
        <w:rPr>
          <w:rFonts w:eastAsia="Times New Roman"/>
          <w:bCs/>
          <w:lang w:val="en-PH"/>
        </w:rPr>
      </w:pPr>
      <w:r w:rsidRPr="00E8326B">
        <w:rPr>
          <w:rFonts w:eastAsia="Times New Roman"/>
          <w:bCs/>
          <w:lang w:val="en-PH"/>
        </w:rPr>
        <w:t>Where staking is facilitated by a Custodian holding crypto assets on behalf of customers, the US SEC Division of Corporation Finance distinguishes such arrangements from investment contracts, provided that the Custodian exercises no discretion over whether or when to stake, and assets are never lent, pledged, or reused. The customer retains beneficial ownership, and the Custodian’s role remains purely administrative. Crypto Custodians should operate under clear non-discretionary frameworks, supported by user agreements affirming customer ownership and limiting the Custodian’s role to protocol execution. Use of pooled assets or discretionary delegation may alter the regulatory character of the staking service.</w:t>
      </w:r>
    </w:p>
    <w:p w14:paraId="4EDF4D22" w14:textId="77777777" w:rsidR="00E8326B" w:rsidRPr="00E8326B" w:rsidRDefault="00E8326B" w:rsidP="00812AEA">
      <w:pPr>
        <w:jc w:val="both"/>
        <w:rPr>
          <w:rFonts w:eastAsia="Times New Roman"/>
          <w:bCs/>
          <w:lang w:val="en-PH"/>
        </w:rPr>
      </w:pPr>
      <w:r w:rsidRPr="00E8326B">
        <w:rPr>
          <w:rFonts w:eastAsia="Times New Roman"/>
          <w:bCs/>
          <w:u w:val="single"/>
          <w:lang w:val="en-PH"/>
        </w:rPr>
        <w:t>Ancillary Services Do Not Constitute Entrepreneurial Effort</w:t>
      </w:r>
    </w:p>
    <w:p w14:paraId="679EEB1D" w14:textId="77777777" w:rsidR="00E8326B" w:rsidRPr="00E8326B" w:rsidRDefault="00E8326B" w:rsidP="00812AEA">
      <w:pPr>
        <w:jc w:val="both"/>
        <w:rPr>
          <w:rFonts w:eastAsia="Times New Roman"/>
          <w:bCs/>
          <w:lang w:val="en-PH"/>
        </w:rPr>
      </w:pPr>
      <w:r w:rsidRPr="00E8326B">
        <w:rPr>
          <w:rFonts w:eastAsia="Times New Roman"/>
          <w:bCs/>
          <w:lang w:val="en-PH"/>
        </w:rPr>
        <w:t>The US SEC Division of Corporation Finance further clarifies that services such as slashing indemnity, early unbonding, or reward forwarding are logistical conveniences that do not rise to the level of entrepreneurial or managerial efforts. Their availability does not alter the staking relationship into one of investment dependency. Crypto platforms offering ancillary services should avoid combining them with speculative incentives or bundling them into products marketed as yield instruments. Transparency and service segregation will be key to maintaining compliance integrity.</w:t>
      </w:r>
    </w:p>
    <w:p w14:paraId="56AEA89A" w14:textId="77777777" w:rsidR="00E8326B" w:rsidRPr="00E8326B" w:rsidRDefault="00E8326B" w:rsidP="00812AEA">
      <w:pPr>
        <w:jc w:val="both"/>
        <w:rPr>
          <w:rFonts w:eastAsia="Times New Roman"/>
          <w:bCs/>
          <w:lang w:val="en-PH"/>
        </w:rPr>
      </w:pPr>
      <w:r w:rsidRPr="00E8326B">
        <w:rPr>
          <w:rFonts w:eastAsia="Times New Roman"/>
          <w:bCs/>
          <w:u w:val="single"/>
          <w:lang w:val="en-PH"/>
        </w:rPr>
        <w:t>Economic Reality and the Howey Analysis Anchor the Regulatory Position</w:t>
      </w:r>
    </w:p>
    <w:p w14:paraId="0586F976" w14:textId="77777777" w:rsidR="00E8326B" w:rsidRPr="00E8326B" w:rsidRDefault="00E8326B" w:rsidP="00812AEA">
      <w:pPr>
        <w:jc w:val="both"/>
        <w:rPr>
          <w:rFonts w:eastAsia="Times New Roman"/>
          <w:bCs/>
          <w:lang w:val="en-PH"/>
        </w:rPr>
      </w:pPr>
      <w:r w:rsidRPr="00E8326B">
        <w:rPr>
          <w:rFonts w:eastAsia="Times New Roman"/>
          <w:bCs/>
          <w:lang w:val="en-PH"/>
        </w:rPr>
        <w:t>The US SEC Division of Corporation Finance reiterates that the </w:t>
      </w:r>
      <w:r w:rsidRPr="00E8326B">
        <w:rPr>
          <w:rFonts w:eastAsia="Times New Roman"/>
          <w:bCs/>
          <w:i/>
          <w:iCs/>
          <w:lang w:val="en-PH"/>
        </w:rPr>
        <w:t>Howey</w:t>
      </w:r>
      <w:r w:rsidRPr="00E8326B">
        <w:rPr>
          <w:rFonts w:eastAsia="Times New Roman"/>
          <w:bCs/>
          <w:lang w:val="en-PH"/>
        </w:rPr>
        <w:t> test remains the guiding standard for determining whether staking arrangements amount to securities. Central to the analysis is whether there exists a common enterprise and a reasonable expectation of profits derived from others’ significant managerial efforts. Ministerial acts, regardless of their necessity or frequency, do not satisfy this requirement. Crypto businesses should also conduct </w:t>
      </w:r>
      <w:r w:rsidRPr="00E8326B">
        <w:rPr>
          <w:rFonts w:eastAsia="Times New Roman"/>
          <w:bCs/>
          <w:i/>
          <w:iCs/>
          <w:lang w:val="en-PH"/>
        </w:rPr>
        <w:t>Howey</w:t>
      </w:r>
      <w:r w:rsidRPr="00E8326B">
        <w:rPr>
          <w:rFonts w:eastAsia="Times New Roman"/>
          <w:bCs/>
          <w:lang w:val="en-PH"/>
        </w:rPr>
        <w:t> analyses on a per-activity basis, documenting the absence of speculative structures, central managerial functions, or investor-like expectations. Internal legal reviews should accompany any new staking service launch.</w:t>
      </w:r>
    </w:p>
    <w:p w14:paraId="261CCB5B" w14:textId="77777777" w:rsidR="00E8326B" w:rsidRPr="00E8326B" w:rsidRDefault="00E8326B" w:rsidP="00812AEA">
      <w:pPr>
        <w:jc w:val="both"/>
        <w:rPr>
          <w:rFonts w:eastAsia="Times New Roman"/>
          <w:bCs/>
          <w:lang w:val="en-PH"/>
        </w:rPr>
      </w:pPr>
      <w:r w:rsidRPr="00E8326B">
        <w:rPr>
          <w:rFonts w:eastAsia="Times New Roman"/>
          <w:bCs/>
          <w:u w:val="single"/>
          <w:lang w:val="en-PH"/>
        </w:rPr>
        <w:t>Jurisdictional Scope and Legal Limitations</w:t>
      </w:r>
    </w:p>
    <w:p w14:paraId="39B23155" w14:textId="77777777" w:rsidR="00E8326B" w:rsidRPr="00E8326B" w:rsidRDefault="00E8326B" w:rsidP="00812AEA">
      <w:pPr>
        <w:jc w:val="both"/>
        <w:rPr>
          <w:rFonts w:eastAsia="Times New Roman"/>
          <w:bCs/>
          <w:lang w:val="en-PH"/>
        </w:rPr>
      </w:pPr>
      <w:r w:rsidRPr="00E8326B">
        <w:rPr>
          <w:rFonts w:eastAsia="Times New Roman"/>
          <w:bCs/>
          <w:lang w:val="en-PH"/>
        </w:rPr>
        <w:t>The US SEC Division of Corporation Finance emphasises that its views are non-binding and contingent upon the specific facts presented. Variations in practice, such as offering fixed returns, liquid restaking, or discretionary asset pooling, could lead to a different regulatory conclusion. The statement also excludes analysis of “liquid staking” and “restaking” models, which may involve distinct legal risks. Crypto entities should not treat this statement as a blanket exemption. Novel staking variations or composite DeFi protocols must undergo separate legal evaluation to avoid assuming regulatory safety where ambiguity remains.</w:t>
      </w:r>
    </w:p>
    <w:p w14:paraId="041B6A77" w14:textId="77777777" w:rsidR="00E8326B" w:rsidRPr="00E8326B" w:rsidRDefault="00E8326B" w:rsidP="00812AEA">
      <w:pPr>
        <w:jc w:val="both"/>
        <w:rPr>
          <w:rFonts w:eastAsia="Times New Roman"/>
          <w:bCs/>
          <w:lang w:val="en-PH"/>
        </w:rPr>
      </w:pPr>
      <w:r w:rsidRPr="00E8326B">
        <w:rPr>
          <w:rFonts w:eastAsia="Times New Roman"/>
          <w:bCs/>
          <w:lang w:val="en-PH"/>
        </w:rPr>
        <w:t xml:space="preserve">The US SEC’s Division of Corporation Finance has offered a practical interpretation of Crypto staking arrangements, based not on nomenclature but on the functional and economic substance of the activity. The regulatory theme is that crypto staking may be compliant when it resembles a decentralised network utility function and not an investment scheme. However, the guidance also leaves the door open for enforcement where staking models exhibit profit dependency, passive participation, or custodial misuse. Crypto platforms, validators, and custodial agents, when operating within the strict technical parameters of PoS protocol design, staking may be legally permissible. But deviation into speculative architecture, </w:t>
      </w:r>
      <w:r w:rsidRPr="00E8326B">
        <w:rPr>
          <w:rFonts w:eastAsia="Times New Roman"/>
          <w:bCs/>
          <w:lang w:val="en-PH"/>
        </w:rPr>
        <w:lastRenderedPageBreak/>
        <w:t>third-party discretion, or opaque reward systems could convert an otherwise exempt activity into a regulated securities transaction. Legal, compliance, and product teams must work collaboratively to embed these principles across smart contracts, disclosures, and operational protocols.</w:t>
      </w:r>
    </w:p>
    <w:p w14:paraId="4242E87F" w14:textId="52EF82B3" w:rsidR="00E4055D" w:rsidRPr="000976A9" w:rsidRDefault="00E8326B" w:rsidP="00812AEA">
      <w:pPr>
        <w:jc w:val="both"/>
        <w:rPr>
          <w:rFonts w:eastAsia="Times New Roman"/>
          <w:bCs/>
          <w:lang w:val="en-PH"/>
        </w:rPr>
      </w:pPr>
      <w:r w:rsidRPr="00E8326B">
        <w:rPr>
          <w:rFonts w:eastAsia="Times New Roman"/>
          <w:bCs/>
          <w:lang w:val="en-PH"/>
        </w:rPr>
        <w:t>(Source: </w:t>
      </w:r>
      <w:hyperlink r:id="rId36" w:tgtFrame="_blank" w:history="1">
        <w:r w:rsidRPr="00E8326B">
          <w:rPr>
            <w:rStyle w:val="Hyperlink"/>
            <w:rFonts w:eastAsia="Times New Roman"/>
            <w:bCs/>
            <w:color w:val="FF6E00"/>
            <w:lang w:val="en-PH"/>
          </w:rPr>
          <w:t>https://www.sec.gov/newsroom/speeches-statements/statement-certain-protocol-staking-activities-052925</w:t>
        </w:r>
      </w:hyperlink>
      <w:r w:rsidRPr="00E8326B">
        <w:rPr>
          <w:rFonts w:eastAsia="Times New Roman"/>
          <w:bCs/>
          <w:lang w:val="en-PH"/>
        </w:rPr>
        <w:t>)</w:t>
      </w:r>
    </w:p>
    <w:p w14:paraId="2E9A9587" w14:textId="77777777" w:rsidR="00E4055D" w:rsidRDefault="00E4055D" w:rsidP="00812AEA">
      <w:pPr>
        <w:jc w:val="both"/>
        <w:rPr>
          <w:rFonts w:eastAsia="Times New Roman"/>
          <w:bCs/>
          <w:lang w:val="en-PH"/>
        </w:rPr>
      </w:pPr>
    </w:p>
    <w:p w14:paraId="6489115D" w14:textId="4950867C" w:rsidR="00E4055D" w:rsidRPr="00EC4C57" w:rsidRDefault="004946F9" w:rsidP="00812AEA">
      <w:pPr>
        <w:jc w:val="both"/>
        <w:rPr>
          <w:b/>
          <w:bCs/>
          <w:color w:val="FF6E00"/>
          <w:lang w:val="en-PH"/>
        </w:rPr>
      </w:pPr>
      <w:r w:rsidRPr="004946F9">
        <w:rPr>
          <w:b/>
          <w:bCs/>
          <w:color w:val="FF6E00"/>
          <w:lang w:val="en-PH"/>
        </w:rPr>
        <w:t>US SEC Commissioner Caroline A. Crenshaw’s Dissenting Statement on Protocol Staking Challenges Division-Level Exemptions: A Legal Reality Check for Crypto Entities</w:t>
      </w:r>
    </w:p>
    <w:p w14:paraId="70ED5140" w14:textId="77777777" w:rsidR="004946F9" w:rsidRPr="004946F9" w:rsidRDefault="004946F9" w:rsidP="00812AEA">
      <w:pPr>
        <w:jc w:val="both"/>
        <w:rPr>
          <w:rFonts w:eastAsia="Times New Roman"/>
          <w:bCs/>
          <w:lang w:val="en-PH"/>
        </w:rPr>
      </w:pPr>
      <w:r w:rsidRPr="004946F9">
        <w:rPr>
          <w:rFonts w:eastAsia="Times New Roman"/>
          <w:bCs/>
          <w:lang w:val="en-PH"/>
        </w:rPr>
        <w:t>On 29 May 2025, Commissioner Caroline A. Crenshaw of the United States Securities and Exchange Commission (</w:t>
      </w:r>
      <w:r w:rsidRPr="004946F9">
        <w:rPr>
          <w:rFonts w:eastAsia="Times New Roman"/>
          <w:b/>
          <w:bCs/>
          <w:lang w:val="en-PH"/>
        </w:rPr>
        <w:t>US SEC</w:t>
      </w:r>
      <w:r w:rsidRPr="004946F9">
        <w:rPr>
          <w:rFonts w:eastAsia="Times New Roman"/>
          <w:bCs/>
          <w:lang w:val="en-PH"/>
        </w:rPr>
        <w:t>) issued a dissenting statement titled </w:t>
      </w:r>
      <w:r w:rsidRPr="0075426B">
        <w:rPr>
          <w:rFonts w:eastAsia="Times New Roman"/>
          <w:bCs/>
          <w:i/>
          <w:iCs/>
          <w:lang w:val="en-PH"/>
        </w:rPr>
        <w:t>“</w:t>
      </w:r>
      <w:hyperlink r:id="rId37" w:tgtFrame="_blank" w:history="1">
        <w:r w:rsidRPr="0075426B">
          <w:rPr>
            <w:rStyle w:val="Hyperlink"/>
            <w:rFonts w:eastAsia="Times New Roman"/>
            <w:bCs/>
            <w:i/>
            <w:iCs/>
            <w:color w:val="FF6E00"/>
            <w:u w:val="none"/>
            <w:lang w:val="en-PH"/>
          </w:rPr>
          <w:t>Stake it Till You Make It?</w:t>
        </w:r>
      </w:hyperlink>
      <w:r w:rsidRPr="0075426B">
        <w:rPr>
          <w:rFonts w:eastAsia="Times New Roman"/>
          <w:bCs/>
          <w:i/>
          <w:iCs/>
          <w:lang w:val="en-PH"/>
        </w:rPr>
        <w:t>”</w:t>
      </w:r>
      <w:r w:rsidRPr="004946F9">
        <w:rPr>
          <w:rFonts w:eastAsia="Times New Roman"/>
          <w:bCs/>
          <w:lang w:val="en-PH"/>
        </w:rPr>
        <w:t xml:space="preserve"> criticising the contemporaneous statement issued by the US SEC Division of Corporation Finance titled </w:t>
      </w:r>
      <w:r w:rsidRPr="0075426B">
        <w:rPr>
          <w:rFonts w:eastAsia="Times New Roman"/>
          <w:bCs/>
          <w:i/>
          <w:iCs/>
          <w:lang w:val="en-PH"/>
        </w:rPr>
        <w:t>“</w:t>
      </w:r>
      <w:hyperlink r:id="rId38" w:tgtFrame="_blank" w:history="1">
        <w:r w:rsidRPr="0075426B">
          <w:rPr>
            <w:rStyle w:val="Hyperlink"/>
            <w:rFonts w:eastAsia="Times New Roman"/>
            <w:bCs/>
            <w:i/>
            <w:iCs/>
            <w:color w:val="FF6E00"/>
            <w:u w:val="none"/>
            <w:lang w:val="en-PH"/>
          </w:rPr>
          <w:t>Statement on Certain Protocol Staking Activities</w:t>
        </w:r>
      </w:hyperlink>
      <w:r w:rsidRPr="0075426B">
        <w:rPr>
          <w:rFonts w:eastAsia="Times New Roman"/>
          <w:bCs/>
          <w:i/>
          <w:iCs/>
          <w:lang w:val="en-PH"/>
        </w:rPr>
        <w:t>”</w:t>
      </w:r>
      <w:r w:rsidRPr="004946F9">
        <w:rPr>
          <w:rFonts w:eastAsia="Times New Roman"/>
          <w:bCs/>
          <w:lang w:val="en-PH"/>
        </w:rPr>
        <w:t xml:space="preserve"> stating that certain protocol staking arrangements fall outside the scope of US federal securities laws. Crenshaw rebukes this staff position as legally flawed, inconsistent with </w:t>
      </w:r>
      <w:r w:rsidRPr="004946F9">
        <w:rPr>
          <w:rFonts w:eastAsia="Times New Roman"/>
          <w:bCs/>
          <w:i/>
          <w:iCs/>
          <w:u w:val="single"/>
          <w:lang w:val="en-PH"/>
        </w:rPr>
        <w:t>SEC v. W.J. Howey Co</w:t>
      </w:r>
      <w:r w:rsidRPr="004946F9">
        <w:rPr>
          <w:rFonts w:eastAsia="Times New Roman"/>
          <w:bCs/>
          <w:i/>
          <w:iCs/>
          <w:lang w:val="en-PH"/>
        </w:rPr>
        <w:t>. </w:t>
      </w:r>
      <w:r w:rsidRPr="004946F9">
        <w:rPr>
          <w:rFonts w:eastAsia="Times New Roman"/>
          <w:bCs/>
          <w:lang w:val="en-PH"/>
        </w:rPr>
        <w:t>jurisprudence, and out of step with recent federal court decisions that upheld staking-as-a-service models as investment contracts. There is continuing legal uncertainty surrounding crypto staking models and Commissioner Caroline A. Crenshaw has called for substantive rulemaking over informal carve-outs. Crypto entities must treat this dissent as a judicially reinforced counterweight to staff guidance statement provided earlier. Business models that involve third-party infrastructure, pooled validation, or profit enhancement mechanisms require a full </w:t>
      </w:r>
      <w:r w:rsidRPr="004946F9">
        <w:rPr>
          <w:rFonts w:eastAsia="Times New Roman"/>
          <w:bCs/>
          <w:i/>
          <w:iCs/>
          <w:lang w:val="en-PH"/>
        </w:rPr>
        <w:t>Howey</w:t>
      </w:r>
      <w:r w:rsidRPr="004946F9">
        <w:rPr>
          <w:rFonts w:eastAsia="Times New Roman"/>
          <w:bCs/>
          <w:lang w:val="en-PH"/>
        </w:rPr>
        <w:t> analysis and should not be deemed exempt based on the US SEC Division’s statement.</w:t>
      </w:r>
    </w:p>
    <w:p w14:paraId="5B52FD55" w14:textId="77777777" w:rsidR="004946F9" w:rsidRPr="004946F9" w:rsidRDefault="004946F9" w:rsidP="00812AEA">
      <w:pPr>
        <w:jc w:val="both"/>
        <w:rPr>
          <w:rFonts w:eastAsia="Times New Roman"/>
          <w:bCs/>
          <w:lang w:val="en-PH"/>
        </w:rPr>
      </w:pPr>
      <w:r w:rsidRPr="004946F9">
        <w:rPr>
          <w:rFonts w:eastAsia="Times New Roman"/>
          <w:bCs/>
          <w:lang w:val="en-PH"/>
        </w:rPr>
        <w:t>Commissioner Crenshaw asserts that while the US SEC Division of Corporation Finance’s statement may reflect industry preference, it directly contradicts settled securities law. She points to multiple court rulings, including </w:t>
      </w:r>
      <w:r w:rsidRPr="004946F9">
        <w:rPr>
          <w:rFonts w:eastAsia="Times New Roman"/>
          <w:bCs/>
          <w:i/>
          <w:iCs/>
          <w:u w:val="single"/>
          <w:lang w:val="en-PH"/>
        </w:rPr>
        <w:t>SEC v. Binance</w:t>
      </w:r>
      <w:r w:rsidRPr="004946F9">
        <w:rPr>
          <w:rFonts w:eastAsia="Times New Roman"/>
          <w:bCs/>
          <w:lang w:val="en-PH"/>
        </w:rPr>
        <w:t> and </w:t>
      </w:r>
      <w:r w:rsidRPr="004946F9">
        <w:rPr>
          <w:rFonts w:eastAsia="Times New Roman"/>
          <w:bCs/>
          <w:i/>
          <w:iCs/>
          <w:u w:val="single"/>
          <w:lang w:val="en-PH"/>
        </w:rPr>
        <w:t>SEC v. Coinbase</w:t>
      </w:r>
      <w:r w:rsidRPr="004946F9">
        <w:rPr>
          <w:rFonts w:eastAsia="Times New Roman"/>
          <w:bCs/>
          <w:lang w:val="en-PH"/>
        </w:rPr>
        <w:t>, that validated the Commission’s enforcement theory on staking as an investment contract under </w:t>
      </w:r>
      <w:r w:rsidRPr="004946F9">
        <w:rPr>
          <w:rFonts w:eastAsia="Times New Roman"/>
          <w:bCs/>
          <w:i/>
          <w:iCs/>
          <w:lang w:val="en-PH"/>
        </w:rPr>
        <w:t>Howey</w:t>
      </w:r>
      <w:r w:rsidRPr="004946F9">
        <w:rPr>
          <w:rFonts w:eastAsia="Times New Roman"/>
          <w:bCs/>
          <w:lang w:val="en-PH"/>
        </w:rPr>
        <w:t>. She also references the quiet dismissal of these cases, warning that the court decisions themselves remain legally operative. US SEC Commissioner Crenshaw’s dissent reinforces that staking models may still fall within the securities definition even if an enforcement action is dropped. Dismissals for strategic or resource reasons do not invalidate legal reasoning upheld by courts. Crypto platforms offering staking services should initiate or update an internal legal opinion or ISO-compliant risk classification framework that integrates case law precedent and clearly delineates between passive returns and protocol-based participation.</w:t>
      </w:r>
    </w:p>
    <w:p w14:paraId="19CD941A" w14:textId="35B649A9" w:rsidR="004946F9" w:rsidRPr="004946F9" w:rsidRDefault="004946F9" w:rsidP="00812AEA">
      <w:pPr>
        <w:jc w:val="both"/>
        <w:rPr>
          <w:rFonts w:eastAsia="Times New Roman"/>
          <w:bCs/>
          <w:lang w:val="en-PH"/>
        </w:rPr>
      </w:pPr>
      <w:r w:rsidRPr="004946F9">
        <w:rPr>
          <w:rFonts w:eastAsia="Times New Roman"/>
          <w:bCs/>
          <w:lang w:val="en-PH"/>
        </w:rPr>
        <w:t>The dissent refutes the US SEC Division of Corporation Finance’s assumption that protocol staking involves no entrepreneurial activity. Crenshaw argues that when entities build technical infrastructure, pool assets, and offer enhanced liquidity or loss protection, they are not merely executing protocol functions, they are creating managed investment schemes. She analogises this to the </w:t>
      </w:r>
      <w:r w:rsidRPr="004946F9">
        <w:rPr>
          <w:rFonts w:eastAsia="Times New Roman"/>
          <w:bCs/>
          <w:i/>
          <w:iCs/>
          <w:u w:val="single"/>
          <w:lang w:val="en-PH"/>
        </w:rPr>
        <w:t>Gary Plastic</w:t>
      </w:r>
      <w:r w:rsidRPr="004946F9">
        <w:rPr>
          <w:rFonts w:eastAsia="Times New Roman"/>
          <w:bCs/>
          <w:u w:val="single"/>
          <w:lang w:val="en-PH"/>
        </w:rPr>
        <w:t> case</w:t>
      </w:r>
      <w:r w:rsidRPr="004946F9">
        <w:rPr>
          <w:rFonts w:eastAsia="Times New Roman"/>
          <w:bCs/>
          <w:lang w:val="en-PH"/>
        </w:rPr>
        <w:t>, where the packaging of traditional financial products into revenue-enhancing programs created investment contracts. ‘</w:t>
      </w:r>
      <w:r w:rsidRPr="004946F9">
        <w:rPr>
          <w:rFonts w:eastAsia="Times New Roman"/>
          <w:bCs/>
          <w:i/>
          <w:iCs/>
          <w:lang w:val="en-PH"/>
        </w:rPr>
        <w:t>The use of automation, user-friendly interfaces, and scalable validator pools does not shield a service from Howey scrutiny if these enhancements drive profit expectancy through third-party efforts</w:t>
      </w:r>
      <w:r w:rsidR="00AE5908">
        <w:rPr>
          <w:rFonts w:eastAsia="Times New Roman"/>
          <w:bCs/>
          <w:i/>
          <w:iCs/>
          <w:lang w:val="en-PH"/>
        </w:rPr>
        <w:t>.</w:t>
      </w:r>
      <w:r w:rsidRPr="004946F9">
        <w:rPr>
          <w:rFonts w:eastAsia="Times New Roman"/>
          <w:bCs/>
          <w:i/>
          <w:iCs/>
          <w:lang w:val="en-PH"/>
        </w:rPr>
        <w:t>’</w:t>
      </w:r>
      <w:r w:rsidRPr="004946F9">
        <w:rPr>
          <w:rFonts w:eastAsia="Times New Roman"/>
          <w:bCs/>
          <w:lang w:val="en-PH"/>
        </w:rPr>
        <w:t xml:space="preserve"> Crypto Entities operating validator infrastructure or offering staking-as-a-service should develop an internal control system compliant with ISO 37301 (Compliance Management Systems) and ISO 27036-4 (IT governance in cloud trust relationships) to document their role boundaries and mitigate misclassification risks.</w:t>
      </w:r>
    </w:p>
    <w:p w14:paraId="7EB76456" w14:textId="77777777" w:rsidR="004946F9" w:rsidRPr="004946F9" w:rsidRDefault="004946F9" w:rsidP="00812AEA">
      <w:pPr>
        <w:jc w:val="both"/>
        <w:rPr>
          <w:rFonts w:eastAsia="Times New Roman"/>
          <w:bCs/>
          <w:lang w:val="en-PH"/>
        </w:rPr>
      </w:pPr>
      <w:r w:rsidRPr="004946F9">
        <w:rPr>
          <w:rFonts w:eastAsia="Times New Roman"/>
          <w:bCs/>
          <w:lang w:val="en-PH"/>
        </w:rPr>
        <w:lastRenderedPageBreak/>
        <w:t>Crenshaw challenges the US SEC Division of Corporation Finance’s portrayal of features like pooling, slashing coverage, and early unbonding as “ancillary.” She argues that these are precisely the kinds of risk and liquidity enhancements that courts have considered entrepreneurial efforts under </w:t>
      </w:r>
      <w:r w:rsidRPr="004946F9">
        <w:rPr>
          <w:rFonts w:eastAsia="Times New Roman"/>
          <w:bCs/>
          <w:i/>
          <w:iCs/>
          <w:lang w:val="en-PH"/>
        </w:rPr>
        <w:t>Howey</w:t>
      </w:r>
      <w:r w:rsidRPr="004946F9">
        <w:rPr>
          <w:rFonts w:eastAsia="Times New Roman"/>
          <w:bCs/>
          <w:lang w:val="en-PH"/>
        </w:rPr>
        <w:t>. She warns that mislabeling such services could lull users into false assumptions of protection. Convenience features that materially change reward delivery, user risk, or asset access may legally recharacterise staking as a managed financial product. Function, not framing, governs classification. Crypto businesses should maintain an ISO 31000-aligned enterprise risk register that documents how each staking service component interacts with securities law risk categories (e.g., profit inducement, investor expectation, control transfer).</w:t>
      </w:r>
    </w:p>
    <w:p w14:paraId="5C912E9A" w14:textId="77777777" w:rsidR="004946F9" w:rsidRPr="004946F9" w:rsidRDefault="004946F9" w:rsidP="00812AEA">
      <w:pPr>
        <w:jc w:val="both"/>
        <w:rPr>
          <w:rFonts w:eastAsia="Times New Roman"/>
          <w:bCs/>
          <w:lang w:val="en-PH"/>
        </w:rPr>
      </w:pPr>
      <w:r w:rsidRPr="004946F9">
        <w:rPr>
          <w:rFonts w:eastAsia="Times New Roman"/>
          <w:bCs/>
          <w:lang w:val="en-PH"/>
        </w:rPr>
        <w:t>Commissioner Crenshaw expresses concern that the Division’s vague exclusions—such as the undefined limits of staking discretion, create ambiguity for operators. Questions remain unanswered: Does re-staking of rewards trigger investment contract analysis? How are infrastructure-led staking strategies treated? Ambiguity in regulatory interpretation increases risk. When functions like automatic reward reinvestment or delegation-based validator selection occur, they must be documented, disclosed, and legally tested. Staking platforms should initiate a risk impact assessment under ISO/IEC 27005 that addresses all discretionary and automated functions in staking workflows. Compliance reviews should accompany product iterations.</w:t>
      </w:r>
    </w:p>
    <w:p w14:paraId="48B5B16C" w14:textId="77777777" w:rsidR="004946F9" w:rsidRPr="004946F9" w:rsidRDefault="004946F9" w:rsidP="00812AEA">
      <w:pPr>
        <w:jc w:val="both"/>
        <w:rPr>
          <w:rFonts w:eastAsia="Times New Roman"/>
          <w:bCs/>
          <w:lang w:val="en-PH"/>
        </w:rPr>
      </w:pPr>
      <w:r w:rsidRPr="004946F9">
        <w:rPr>
          <w:rFonts w:eastAsia="Times New Roman"/>
          <w:bCs/>
          <w:lang w:val="en-PH"/>
        </w:rPr>
        <w:t>Crenshaw criticises the US SEC Division of Corporation Finance’s use of terms like “custodian” and “ownership” in staking contexts, arguing these terms carry false regulatory connotations. In securities markets, custodians are subject to statutory controls that do not exist for staking services. Use of this language, she argues, invites users to assume protections that are not legally guaranteed. Misuse of regulated terminology such as “custody,” “ownership,” or “safekeeping” can mislead users and potentially trigger consumer protection violations. Language must match legal architecture. Crypto firms should audit all customer-facing documents using ISO 22458 (Consumer Vulnerability) standards and issue a lexicon of approved terms that reflect the true legal status of staking and custody.</w:t>
      </w:r>
    </w:p>
    <w:p w14:paraId="7D645027" w14:textId="77777777" w:rsidR="004946F9" w:rsidRPr="004946F9" w:rsidRDefault="004946F9" w:rsidP="00812AEA">
      <w:pPr>
        <w:jc w:val="both"/>
        <w:rPr>
          <w:rFonts w:eastAsia="Times New Roman"/>
          <w:bCs/>
          <w:lang w:val="en-PH"/>
        </w:rPr>
      </w:pPr>
      <w:r w:rsidRPr="004946F9">
        <w:rPr>
          <w:rFonts w:eastAsia="Times New Roman"/>
          <w:bCs/>
          <w:lang w:val="en-PH"/>
        </w:rPr>
        <w:t>The dissent further notes that many staking platforms use user agreements to imply security or segregation of assets during staking. However, these assurances often lack legal force in bankruptcy or fraud situations. Without regulatory protection, the disposition of customer assets remains uncertain. Reliance on private contractual language is not equivalent to legal protection. Asset segregation, recovery rights, and insolvency outcomes must be grounded in law, not suggested in disclaimers. Platforms should conduct a contract audit under ISO/IEC 27001 Annex A.18.1.4 (Privacy and Data Protection Agreements) to ensure all language related to asset handling, loss indemnity, and insolvency aligns with enforceable law and bankruptcy jurisprudence.</w:t>
      </w:r>
    </w:p>
    <w:p w14:paraId="0C63D2CB" w14:textId="77777777" w:rsidR="004946F9" w:rsidRPr="004946F9" w:rsidRDefault="004946F9" w:rsidP="00812AEA">
      <w:pPr>
        <w:jc w:val="both"/>
        <w:rPr>
          <w:rFonts w:eastAsia="Times New Roman"/>
          <w:bCs/>
          <w:lang w:val="en-PH"/>
        </w:rPr>
      </w:pPr>
      <w:r w:rsidRPr="004946F9">
        <w:rPr>
          <w:rFonts w:eastAsia="Times New Roman"/>
          <w:bCs/>
          <w:lang w:val="en-PH"/>
        </w:rPr>
        <w:t xml:space="preserve">Commissioner Crenshaw closes by warning that informal statements from the US SEC Division of Corporation Finance do not provide market certainty or investor protection. Instead, they obscure legal risks, potentially create false security among participants, and fail the public mission of the US SEC. She calls for formal rulemaking, clear enforcement guidance, and an accurate portrayal of how staking programs </w:t>
      </w:r>
      <w:proofErr w:type="gramStart"/>
      <w:r w:rsidRPr="004946F9">
        <w:rPr>
          <w:rFonts w:eastAsia="Times New Roman"/>
          <w:bCs/>
          <w:lang w:val="en-PH"/>
        </w:rPr>
        <w:t>function in reality</w:t>
      </w:r>
      <w:proofErr w:type="gramEnd"/>
      <w:r w:rsidRPr="004946F9">
        <w:rPr>
          <w:rFonts w:eastAsia="Times New Roman"/>
          <w:bCs/>
          <w:lang w:val="en-PH"/>
        </w:rPr>
        <w:t>. Informal guidance is not a replacement for regulation. Until the US SEC adopts formal rules on staking, firms must navigate a fractured legal terrain with both internal prudence and external legal defensibility. Entities engaged in any form of staking should adopt an enterprise-wide staking compliance framework anchored in ISO 37301, with continuous legal monitoring of judicial trends and US SEC-level actions. Internal audit functions should routinely test whether staking operations, communications, and risk disclosures remain compliant with both staff guidance and judicial precedent.</w:t>
      </w:r>
    </w:p>
    <w:p w14:paraId="796C0010" w14:textId="72CE78F0" w:rsidR="00E4055D" w:rsidRPr="000976A9" w:rsidRDefault="004946F9" w:rsidP="00812AEA">
      <w:pPr>
        <w:jc w:val="both"/>
        <w:rPr>
          <w:rFonts w:eastAsia="Times New Roman"/>
          <w:bCs/>
          <w:lang w:val="en-PH"/>
        </w:rPr>
      </w:pPr>
      <w:r w:rsidRPr="004946F9">
        <w:rPr>
          <w:rFonts w:eastAsia="Times New Roman"/>
          <w:bCs/>
          <w:lang w:val="en-PH"/>
        </w:rPr>
        <w:lastRenderedPageBreak/>
        <w:t>(Source: </w:t>
      </w:r>
      <w:hyperlink r:id="rId39" w:tgtFrame="_blank" w:history="1">
        <w:r w:rsidRPr="004946F9">
          <w:rPr>
            <w:rStyle w:val="Hyperlink"/>
            <w:rFonts w:eastAsia="Times New Roman"/>
            <w:bCs/>
            <w:color w:val="FF6E00"/>
            <w:lang w:val="en-PH"/>
          </w:rPr>
          <w:t>https://www.sec.gov/newsroom/speeches-statements/crenshaw-statement-protocol-staking-052925</w:t>
        </w:r>
      </w:hyperlink>
      <w:r w:rsidRPr="004946F9">
        <w:rPr>
          <w:rFonts w:eastAsia="Times New Roman"/>
          <w:bCs/>
          <w:lang w:val="en-PH"/>
        </w:rPr>
        <w:t>)</w:t>
      </w:r>
    </w:p>
    <w:p w14:paraId="6ACA0E07" w14:textId="77777777" w:rsidR="00E4055D" w:rsidRDefault="00E4055D" w:rsidP="00812AEA">
      <w:pPr>
        <w:jc w:val="both"/>
        <w:rPr>
          <w:rFonts w:eastAsia="Times New Roman"/>
          <w:bCs/>
          <w:lang w:val="en-PH"/>
        </w:rPr>
      </w:pPr>
    </w:p>
    <w:p w14:paraId="7D1C9889" w14:textId="2212DB62" w:rsidR="00E4055D" w:rsidRPr="00EC4C57" w:rsidRDefault="00B54E1D" w:rsidP="00812AEA">
      <w:pPr>
        <w:jc w:val="both"/>
        <w:rPr>
          <w:b/>
          <w:bCs/>
          <w:color w:val="FF6E00"/>
          <w:lang w:val="en-PH"/>
        </w:rPr>
      </w:pPr>
      <w:r w:rsidRPr="00B54E1D">
        <w:rPr>
          <w:b/>
          <w:bCs/>
          <w:color w:val="FF6E00"/>
          <w:lang w:val="en-PH"/>
        </w:rPr>
        <w:t>US SEC Extends Decision on Grayscale Avalanche Trust ETF Listing Under Nasdaq Rule 5711(d); Final Action Now Expected by 15 July 2025</w:t>
      </w:r>
    </w:p>
    <w:p w14:paraId="1234A3C0" w14:textId="77777777" w:rsidR="00D657BC" w:rsidRPr="00D657BC" w:rsidRDefault="00D657BC" w:rsidP="00812AEA">
      <w:pPr>
        <w:jc w:val="both"/>
        <w:rPr>
          <w:rFonts w:eastAsia="Times New Roman"/>
          <w:bCs/>
          <w:lang w:val="en-PH"/>
        </w:rPr>
      </w:pPr>
      <w:r w:rsidRPr="00D657BC">
        <w:rPr>
          <w:rFonts w:eastAsia="Times New Roman"/>
          <w:bCs/>
          <w:lang w:val="en-PH"/>
        </w:rPr>
        <w:t>On 28 May 2025, the United States Securities and Exchange Commission (</w:t>
      </w:r>
      <w:r w:rsidRPr="00D657BC">
        <w:rPr>
          <w:rFonts w:eastAsia="Times New Roman"/>
          <w:b/>
          <w:bCs/>
          <w:lang w:val="en-PH"/>
        </w:rPr>
        <w:t>US SEC</w:t>
      </w:r>
      <w:r w:rsidRPr="00D657BC">
        <w:rPr>
          <w:rFonts w:eastAsia="Times New Roman"/>
          <w:bCs/>
          <w:lang w:val="en-PH"/>
        </w:rPr>
        <w:t>) published </w:t>
      </w:r>
      <w:hyperlink r:id="rId40" w:tgtFrame="_blank" w:history="1">
        <w:r w:rsidRPr="00D657BC">
          <w:rPr>
            <w:rStyle w:val="Hyperlink"/>
            <w:rFonts w:eastAsia="Times New Roman"/>
            <w:bCs/>
            <w:color w:val="FF6E00"/>
            <w:u w:val="none"/>
            <w:lang w:val="en-PH"/>
          </w:rPr>
          <w:t>Notice of Designation of a Longer Period</w:t>
        </w:r>
      </w:hyperlink>
      <w:r w:rsidRPr="00D657BC">
        <w:rPr>
          <w:rFonts w:eastAsia="Times New Roman"/>
          <w:bCs/>
          <w:lang w:val="en-PH"/>
        </w:rPr>
        <w:t> for US SEC Action on a Proposed Rule Change to List and Trade Shares of Grayscale Avalanche Trust (</w:t>
      </w:r>
      <w:r w:rsidRPr="00D657BC">
        <w:rPr>
          <w:rFonts w:eastAsia="Times New Roman"/>
          <w:b/>
          <w:bCs/>
          <w:lang w:val="en-PH"/>
        </w:rPr>
        <w:t>AVAX</w:t>
      </w:r>
      <w:r w:rsidRPr="00D657BC">
        <w:rPr>
          <w:rFonts w:eastAsia="Times New Roman"/>
          <w:bCs/>
          <w:lang w:val="en-PH"/>
        </w:rPr>
        <w:t>) under Nasdaq Rule 5711(d) (Commodity-Based Trust Shares) and thereby announced an extension of its deadline of 15 July 2025 to decide on a proposed rule change submitted by The Nasdaq Stock Market LLC. The rule change seeks approval to list and trade shares of the Grayscale Avalanche Trust (</w:t>
      </w:r>
      <w:r w:rsidRPr="00D657BC">
        <w:rPr>
          <w:rFonts w:eastAsia="Times New Roman"/>
          <w:b/>
          <w:bCs/>
          <w:lang w:val="en-PH"/>
        </w:rPr>
        <w:t>AVAX</w:t>
      </w:r>
      <w:r w:rsidRPr="00D657BC">
        <w:rPr>
          <w:rFonts w:eastAsia="Times New Roman"/>
          <w:bCs/>
          <w:lang w:val="en-PH"/>
        </w:rPr>
        <w:t>) under Nasdaq Rule 5711(d), a provision governing the listing of commodity-based trust shares. The US SEC has designated 15 July 2025 as the new date by which it must either approve, disapprove, or initiate proceedings to disapprove the proposal.</w:t>
      </w:r>
    </w:p>
    <w:p w14:paraId="087AA763" w14:textId="77777777" w:rsidR="00D657BC" w:rsidRPr="00D657BC" w:rsidRDefault="00D657BC" w:rsidP="00812AEA">
      <w:pPr>
        <w:jc w:val="both"/>
        <w:rPr>
          <w:rFonts w:eastAsia="Times New Roman"/>
          <w:bCs/>
          <w:lang w:val="en-PH"/>
        </w:rPr>
      </w:pPr>
      <w:r w:rsidRPr="00D657BC">
        <w:rPr>
          <w:rFonts w:eastAsia="Times New Roman"/>
          <w:bCs/>
          <w:lang w:val="en-PH"/>
        </w:rPr>
        <w:t>The Grayscale Avalanche Trust (</w:t>
      </w:r>
      <w:r w:rsidRPr="00D657BC">
        <w:rPr>
          <w:rFonts w:eastAsia="Times New Roman"/>
          <w:b/>
          <w:bCs/>
          <w:lang w:val="en-PH"/>
        </w:rPr>
        <w:t>AVAX</w:t>
      </w:r>
      <w:r w:rsidRPr="00D657BC">
        <w:rPr>
          <w:rFonts w:eastAsia="Times New Roman"/>
          <w:bCs/>
          <w:lang w:val="en-PH"/>
        </w:rPr>
        <w:t>) is a commodity-based trust intended to offer investors regulated exposure to Avalanche (</w:t>
      </w:r>
      <w:r w:rsidRPr="00D657BC">
        <w:rPr>
          <w:rFonts w:eastAsia="Times New Roman"/>
          <w:b/>
          <w:bCs/>
          <w:lang w:val="en-PH"/>
        </w:rPr>
        <w:t>AVAX</w:t>
      </w:r>
      <w:r w:rsidRPr="00D657BC">
        <w:rPr>
          <w:rFonts w:eastAsia="Times New Roman"/>
          <w:bCs/>
          <w:lang w:val="en-PH"/>
        </w:rPr>
        <w:t>), a Layer 1 proof-of-stake digital asset. While the US SEC’s release does not describe the trust in operational detail, its categorisation under Nasdaq Rule 5711(d) indicates it would function similarly to other single-asset crypto trusts previously filed by Grayscale, such as those for Bitcoin or Ethereum.</w:t>
      </w:r>
    </w:p>
    <w:p w14:paraId="64744200" w14:textId="7517D7ED" w:rsidR="00D657BC" w:rsidRPr="00D657BC" w:rsidRDefault="00D657BC" w:rsidP="00812AEA">
      <w:pPr>
        <w:jc w:val="both"/>
        <w:rPr>
          <w:rFonts w:eastAsia="Times New Roman"/>
          <w:bCs/>
          <w:lang w:val="en-PH"/>
        </w:rPr>
      </w:pPr>
      <w:r w:rsidRPr="00D657BC">
        <w:rPr>
          <w:rFonts w:eastAsia="Times New Roman"/>
          <w:bCs/>
          <w:lang w:val="en-PH"/>
        </w:rPr>
        <w:t xml:space="preserve">The proposed rule change was filed by Nasdaq on 27 March 2025 under Section 19(b)(1) of the United States </w:t>
      </w:r>
      <w:hyperlink r:id="rId41" w:history="1">
        <w:r w:rsidRPr="00080AA7">
          <w:rPr>
            <w:rStyle w:val="Hyperlink"/>
            <w:rFonts w:eastAsia="Times New Roman"/>
            <w:bCs/>
            <w:color w:val="FF6E00"/>
            <w:u w:val="none"/>
            <w:lang w:val="en-PH"/>
          </w:rPr>
          <w:t>Securities Exchange Act of 1934</w:t>
        </w:r>
      </w:hyperlink>
      <w:r w:rsidRPr="00D657BC">
        <w:rPr>
          <w:rFonts w:eastAsia="Times New Roman"/>
          <w:bCs/>
          <w:lang w:val="en-PH"/>
        </w:rPr>
        <w:t xml:space="preserve"> and US SEC </w:t>
      </w:r>
      <w:hyperlink r:id="rId42" w:history="1">
        <w:r w:rsidRPr="00626BF5">
          <w:rPr>
            <w:rStyle w:val="Hyperlink"/>
            <w:rFonts w:eastAsia="Times New Roman"/>
            <w:bCs/>
            <w:color w:val="FF6E00"/>
            <w:u w:val="none"/>
            <w:lang w:val="en-PH"/>
          </w:rPr>
          <w:t>Rule 19b-4</w:t>
        </w:r>
      </w:hyperlink>
      <w:r w:rsidRPr="00D657BC">
        <w:rPr>
          <w:rFonts w:eastAsia="Times New Roman"/>
          <w:bCs/>
          <w:lang w:val="en-PH"/>
        </w:rPr>
        <w:t>. It was published for public comment in the Federal Register on 16 February 2025. Under Section 19(b)(2) of the same Act, the US SEC had a 45-day statutory window, originally set to expire on 31 May 2025. The extension, announced in US SEC Release No. 34-103141, provides additional time to assess the proposed listing and the related market structure issues.</w:t>
      </w:r>
    </w:p>
    <w:p w14:paraId="5B14ED50" w14:textId="77777777" w:rsidR="00D657BC" w:rsidRPr="00D657BC" w:rsidRDefault="00D657BC" w:rsidP="00812AEA">
      <w:pPr>
        <w:jc w:val="both"/>
        <w:rPr>
          <w:rFonts w:eastAsia="Times New Roman"/>
          <w:bCs/>
          <w:u w:val="single"/>
          <w:lang w:val="en-PH"/>
        </w:rPr>
      </w:pPr>
      <w:r w:rsidRPr="00D657BC">
        <w:rPr>
          <w:rFonts w:eastAsia="Times New Roman"/>
          <w:b/>
          <w:bCs/>
          <w:u w:val="single"/>
          <w:lang w:val="en-PH"/>
        </w:rPr>
        <w:t>Timeline of Developments</w:t>
      </w:r>
    </w:p>
    <w:p w14:paraId="4CE104CE" w14:textId="77777777" w:rsidR="00D657BC" w:rsidRPr="00D657BC" w:rsidRDefault="00D657BC" w:rsidP="00812AEA">
      <w:pPr>
        <w:jc w:val="both"/>
        <w:rPr>
          <w:rFonts w:eastAsia="Times New Roman"/>
          <w:bCs/>
          <w:lang w:val="en-PH"/>
        </w:rPr>
      </w:pPr>
      <w:r w:rsidRPr="00D657BC">
        <w:rPr>
          <w:rFonts w:eastAsia="Times New Roman"/>
          <w:bCs/>
          <w:lang w:val="en-PH"/>
        </w:rPr>
        <w:t>On 16 February 2025, the proposed rule change was published for comment in the </w:t>
      </w:r>
      <w:r w:rsidRPr="00D657BC">
        <w:rPr>
          <w:rFonts w:eastAsia="Times New Roman"/>
          <w:bCs/>
          <w:i/>
          <w:iCs/>
          <w:lang w:val="en-PH"/>
        </w:rPr>
        <w:t>Federal Register</w:t>
      </w:r>
      <w:r w:rsidRPr="00D657BC">
        <w:rPr>
          <w:rFonts w:eastAsia="Times New Roman"/>
          <w:bCs/>
          <w:lang w:val="en-PH"/>
        </w:rPr>
        <w:t> (Release No. 102812, 90 FR 16022).</w:t>
      </w:r>
    </w:p>
    <w:p w14:paraId="6F823E81" w14:textId="77777777" w:rsidR="00D657BC" w:rsidRPr="00D657BC" w:rsidRDefault="00D657BC" w:rsidP="00812AEA">
      <w:pPr>
        <w:jc w:val="both"/>
        <w:rPr>
          <w:rFonts w:eastAsia="Times New Roman"/>
          <w:bCs/>
          <w:lang w:val="en-PH"/>
        </w:rPr>
      </w:pPr>
      <w:r w:rsidRPr="00D657BC">
        <w:rPr>
          <w:rFonts w:eastAsia="Times New Roman"/>
          <w:bCs/>
          <w:lang w:val="en-PH"/>
        </w:rPr>
        <w:t>On 27 March 2025, Nasdaq Stock Market LLC filed the proposed rule change with the US SEC (SR-NASDAQ-2025-030). On 31 May 2025, Initial 45-day period from publication was set to expire.</w:t>
      </w:r>
    </w:p>
    <w:p w14:paraId="72A4DBBD" w14:textId="1E921237" w:rsidR="00D657BC" w:rsidRPr="00D657BC" w:rsidRDefault="00D657BC" w:rsidP="00812AEA">
      <w:pPr>
        <w:jc w:val="both"/>
        <w:rPr>
          <w:rFonts w:eastAsia="Times New Roman"/>
          <w:bCs/>
          <w:lang w:val="en-PH"/>
        </w:rPr>
      </w:pPr>
      <w:r w:rsidRPr="00D657BC">
        <w:rPr>
          <w:rFonts w:eastAsia="Times New Roman"/>
          <w:bCs/>
          <w:lang w:val="en-PH"/>
        </w:rPr>
        <w:t>On 28 May 2025, the US SEC extended the period for taking action to 15 July 2025 (</w:t>
      </w:r>
      <w:hyperlink r:id="rId43" w:history="1">
        <w:r w:rsidRPr="00DD6858">
          <w:rPr>
            <w:rStyle w:val="Hyperlink"/>
            <w:rFonts w:eastAsia="Times New Roman"/>
            <w:bCs/>
            <w:color w:val="FF6E00"/>
            <w:u w:val="none"/>
            <w:lang w:val="en-PH"/>
          </w:rPr>
          <w:t>Release No. 34-103141</w:t>
        </w:r>
      </w:hyperlink>
      <w:r w:rsidRPr="00D657BC">
        <w:rPr>
          <w:rFonts w:eastAsia="Times New Roman"/>
          <w:bCs/>
          <w:lang w:val="en-PH"/>
        </w:rPr>
        <w:t>).</w:t>
      </w:r>
    </w:p>
    <w:p w14:paraId="398ECBAF" w14:textId="77777777" w:rsidR="00D657BC" w:rsidRPr="00D657BC" w:rsidRDefault="00D657BC" w:rsidP="00812AEA">
      <w:pPr>
        <w:jc w:val="both"/>
        <w:rPr>
          <w:rFonts w:eastAsia="Times New Roman"/>
          <w:bCs/>
          <w:lang w:val="en-PH"/>
        </w:rPr>
      </w:pPr>
      <w:r w:rsidRPr="00D657BC">
        <w:rPr>
          <w:rFonts w:eastAsia="Times New Roman"/>
          <w:bCs/>
          <w:lang w:val="en-PH"/>
        </w:rPr>
        <w:t>On 15 July 2025, US SEC can either approve, disapprove, or institute proceedings to determine whether to disapprove the proposed rule change.</w:t>
      </w:r>
    </w:p>
    <w:p w14:paraId="3628D350" w14:textId="77777777" w:rsidR="00D657BC" w:rsidRPr="00D657BC" w:rsidRDefault="00D657BC" w:rsidP="00812AEA">
      <w:pPr>
        <w:jc w:val="both"/>
        <w:rPr>
          <w:rFonts w:eastAsia="Times New Roman"/>
          <w:bCs/>
          <w:lang w:val="en-PH"/>
        </w:rPr>
      </w:pPr>
      <w:r w:rsidRPr="00D657BC">
        <w:rPr>
          <w:rFonts w:eastAsia="Times New Roman"/>
          <w:bCs/>
          <w:lang w:val="en-PH"/>
        </w:rPr>
        <w:t>The US SEC’s procedural extension does not imply a position on the substance of the application. Instead, it reflects the need for more time to evaluate the proposed rule change and the regulatory questions it presents. The extension allows for further consideration of any issues raised by commenters or identified by the US SEC during its ongoing review.</w:t>
      </w:r>
    </w:p>
    <w:p w14:paraId="573F7CA0" w14:textId="1D154CE8" w:rsidR="00D657BC" w:rsidRPr="00D657BC" w:rsidRDefault="00D657BC" w:rsidP="00812AEA">
      <w:pPr>
        <w:jc w:val="both"/>
        <w:rPr>
          <w:rFonts w:eastAsia="Times New Roman"/>
          <w:bCs/>
          <w:lang w:val="en-PH"/>
        </w:rPr>
      </w:pPr>
      <w:r w:rsidRPr="00D657BC">
        <w:rPr>
          <w:rFonts w:eastAsia="Times New Roman"/>
          <w:bCs/>
          <w:lang w:val="en-PH"/>
        </w:rPr>
        <w:lastRenderedPageBreak/>
        <w:t xml:space="preserve">The proposed rule change continues to be evaluated within the framework of the United States </w:t>
      </w:r>
      <w:hyperlink r:id="rId44" w:history="1">
        <w:r w:rsidRPr="00080AA7">
          <w:rPr>
            <w:rStyle w:val="Hyperlink"/>
            <w:rFonts w:eastAsia="Times New Roman"/>
            <w:bCs/>
            <w:color w:val="FF6E00"/>
            <w:u w:val="none"/>
            <w:lang w:val="en-PH"/>
          </w:rPr>
          <w:t>Securities Exchange Act of 1934</w:t>
        </w:r>
      </w:hyperlink>
      <w:r w:rsidRPr="00D657BC">
        <w:rPr>
          <w:rFonts w:eastAsia="Times New Roman"/>
          <w:bCs/>
          <w:lang w:val="en-PH"/>
        </w:rPr>
        <w:t xml:space="preserve">, specifically under Section 19(b)(2), which authorises the US SEC to extend the review period where appropriate. United States </w:t>
      </w:r>
      <w:hyperlink r:id="rId45" w:history="1">
        <w:r w:rsidRPr="00626BF5">
          <w:rPr>
            <w:rStyle w:val="Hyperlink"/>
            <w:rFonts w:eastAsia="Times New Roman"/>
            <w:bCs/>
            <w:color w:val="FF6E00"/>
            <w:u w:val="none"/>
            <w:lang w:val="en-PH"/>
          </w:rPr>
          <w:t>Rule 19b-4</w:t>
        </w:r>
      </w:hyperlink>
      <w:r w:rsidRPr="00D657BC">
        <w:rPr>
          <w:rFonts w:eastAsia="Times New Roman"/>
          <w:bCs/>
          <w:lang w:val="en-PH"/>
        </w:rPr>
        <w:t xml:space="preserve"> governs the submission and review of such changes. Nasdaq Rule 5711(d), under which the AVAX Trust would be listed, is the applicable rule for commodity-based trust shares and has previously supported digital asset-based products.</w:t>
      </w:r>
    </w:p>
    <w:p w14:paraId="399CFACA" w14:textId="77777777" w:rsidR="00D657BC" w:rsidRPr="00D657BC" w:rsidRDefault="00D657BC" w:rsidP="00812AEA">
      <w:pPr>
        <w:jc w:val="both"/>
        <w:rPr>
          <w:rFonts w:eastAsia="Times New Roman"/>
          <w:bCs/>
          <w:lang w:val="en-PH"/>
        </w:rPr>
      </w:pPr>
      <w:r w:rsidRPr="00D657BC">
        <w:rPr>
          <w:rFonts w:eastAsia="Times New Roman"/>
          <w:bCs/>
          <w:lang w:val="en-PH"/>
        </w:rPr>
        <w:t>All information about the filing, including comments and updates, is available on the official US SEC website under file number SR-NASDAQ-2025-030. The final decision on whether the Grayscale Avalanche Trust (</w:t>
      </w:r>
      <w:r w:rsidRPr="00D657BC">
        <w:rPr>
          <w:rFonts w:eastAsia="Times New Roman"/>
          <w:b/>
          <w:bCs/>
          <w:lang w:val="en-PH"/>
        </w:rPr>
        <w:t>AVAX</w:t>
      </w:r>
      <w:r w:rsidRPr="00D657BC">
        <w:rPr>
          <w:rFonts w:eastAsia="Times New Roman"/>
          <w:bCs/>
          <w:lang w:val="en-PH"/>
        </w:rPr>
        <w:t>) will be approved for listing is now expected by 15 July 2025.</w:t>
      </w:r>
    </w:p>
    <w:p w14:paraId="4D14AC6A" w14:textId="22787039" w:rsidR="00E4055D" w:rsidRPr="000976A9" w:rsidRDefault="00D657BC" w:rsidP="00812AEA">
      <w:pPr>
        <w:jc w:val="both"/>
        <w:rPr>
          <w:rFonts w:eastAsia="Times New Roman"/>
          <w:bCs/>
          <w:lang w:val="en-PH"/>
        </w:rPr>
      </w:pPr>
      <w:r w:rsidRPr="00D657BC">
        <w:rPr>
          <w:rFonts w:eastAsia="Times New Roman"/>
          <w:bCs/>
          <w:lang w:val="en-PH"/>
        </w:rPr>
        <w:t>(Source: </w:t>
      </w:r>
      <w:hyperlink r:id="rId46" w:tgtFrame="_blank" w:history="1">
        <w:r w:rsidRPr="00D657BC">
          <w:rPr>
            <w:rStyle w:val="Hyperlink"/>
            <w:rFonts w:eastAsia="Times New Roman"/>
            <w:bCs/>
            <w:color w:val="FF6E00"/>
            <w:lang w:val="en-PH"/>
          </w:rPr>
          <w:t>https://www.sec.gov/files/rules/sro/nasdaq/2025/34-103141.pdf</w:t>
        </w:r>
      </w:hyperlink>
      <w:r w:rsidRPr="00D657BC">
        <w:rPr>
          <w:rFonts w:eastAsia="Times New Roman"/>
          <w:bCs/>
          <w:lang w:val="en-PH"/>
        </w:rPr>
        <w:t>)</w:t>
      </w:r>
    </w:p>
    <w:p w14:paraId="341DFA6B" w14:textId="77777777" w:rsidR="00E4055D" w:rsidRDefault="00E4055D" w:rsidP="00812AEA">
      <w:pPr>
        <w:jc w:val="both"/>
        <w:rPr>
          <w:rFonts w:eastAsia="Times New Roman"/>
          <w:bCs/>
          <w:lang w:val="en-PH"/>
        </w:rPr>
      </w:pPr>
    </w:p>
    <w:p w14:paraId="16028B89" w14:textId="20B2246F" w:rsidR="00E4055D" w:rsidRPr="00EC4C57" w:rsidRDefault="00C73DC1" w:rsidP="00812AEA">
      <w:pPr>
        <w:jc w:val="both"/>
        <w:rPr>
          <w:b/>
          <w:bCs/>
          <w:color w:val="FF6E00"/>
          <w:lang w:val="en-PH"/>
        </w:rPr>
      </w:pPr>
      <w:r w:rsidRPr="00C73DC1">
        <w:rPr>
          <w:b/>
          <w:bCs/>
          <w:color w:val="FF6E00"/>
          <w:lang w:val="en-PH"/>
        </w:rPr>
        <w:t>ASIC Initiates Australian Federal Court Proceedings Against Blockchain Global Former Director for Alleged Directors’ Duties Breaches Linked to ACX Exchange Collapse</w:t>
      </w:r>
    </w:p>
    <w:p w14:paraId="3A5EFDEC" w14:textId="4DEC02E4" w:rsidR="00C73DC1" w:rsidRPr="00C73DC1" w:rsidRDefault="00C73DC1" w:rsidP="00812AEA">
      <w:pPr>
        <w:jc w:val="both"/>
        <w:rPr>
          <w:rFonts w:eastAsia="Times New Roman"/>
          <w:bCs/>
          <w:lang w:val="en-PH"/>
        </w:rPr>
      </w:pPr>
      <w:r w:rsidRPr="00C73DC1">
        <w:rPr>
          <w:rFonts w:eastAsia="Times New Roman"/>
          <w:bCs/>
          <w:lang w:val="en-PH"/>
        </w:rPr>
        <w:t>On 28 May 2025, the Australian Securities and Investments Commission (</w:t>
      </w:r>
      <w:r w:rsidRPr="00C73DC1">
        <w:rPr>
          <w:rFonts w:eastAsia="Times New Roman"/>
          <w:b/>
          <w:bCs/>
          <w:lang w:val="en-PH"/>
        </w:rPr>
        <w:t>ASIC</w:t>
      </w:r>
      <w:r w:rsidRPr="00C73DC1">
        <w:rPr>
          <w:rFonts w:eastAsia="Times New Roman"/>
          <w:bCs/>
          <w:lang w:val="en-PH"/>
        </w:rPr>
        <w:t xml:space="preserve">) commenced </w:t>
      </w:r>
      <w:hyperlink r:id="rId47" w:history="1">
        <w:r w:rsidRPr="00DD6858">
          <w:rPr>
            <w:rStyle w:val="Hyperlink"/>
            <w:rFonts w:eastAsia="Times New Roman"/>
            <w:bCs/>
            <w:color w:val="FF6E00"/>
            <w:u w:val="none"/>
            <w:lang w:val="en-PH"/>
          </w:rPr>
          <w:t>civil penalty proceedings</w:t>
        </w:r>
      </w:hyperlink>
      <w:r w:rsidRPr="00C73DC1">
        <w:rPr>
          <w:rFonts w:eastAsia="Times New Roman"/>
          <w:bCs/>
          <w:lang w:val="en-PH"/>
        </w:rPr>
        <w:t xml:space="preserve"> in the Australian Federal Court against Mr. Liang (Allan) Guo, a former director of Blockchain Global Ltd (now in liquidation), alleging multiple breaches of his statutory directors’ duties under the Australian</w:t>
      </w:r>
      <w:hyperlink r:id="rId48" w:tgtFrame="_blank" w:history="1">
        <w:r w:rsidRPr="00C73DC1">
          <w:rPr>
            <w:rStyle w:val="Hyperlink"/>
            <w:rFonts w:eastAsia="Times New Roman"/>
            <w:bCs/>
            <w:color w:val="FF6E00"/>
            <w:u w:val="none"/>
            <w:lang w:val="en-PH"/>
          </w:rPr>
          <w:t> Corporations Act 2001</w:t>
        </w:r>
      </w:hyperlink>
      <w:r w:rsidRPr="00C73DC1">
        <w:rPr>
          <w:rFonts w:eastAsia="Times New Roman"/>
          <w:bCs/>
          <w:lang w:val="en-PH"/>
        </w:rPr>
        <w:t>. The allegations arise from Mr. Guo’s involvement in the operation and eventual collapse of the ACX Exchange, a cryptocurrency platform run by Blockchain Global, which ceased functioning around December 2019 when customers were unable to withdraw funds or cryptocurrencies from their accounts.</w:t>
      </w:r>
    </w:p>
    <w:p w14:paraId="69401A6D" w14:textId="77777777" w:rsidR="00C73DC1" w:rsidRPr="00C73DC1" w:rsidRDefault="00C73DC1" w:rsidP="00812AEA">
      <w:pPr>
        <w:jc w:val="both"/>
        <w:rPr>
          <w:rFonts w:eastAsia="Times New Roman"/>
          <w:bCs/>
          <w:lang w:val="en-PH"/>
        </w:rPr>
      </w:pPr>
      <w:r w:rsidRPr="00C73DC1">
        <w:rPr>
          <w:rFonts w:eastAsia="Times New Roman"/>
          <w:bCs/>
          <w:lang w:val="en-PH"/>
        </w:rPr>
        <w:t>According to ASIC, Mr. Guo is alleged to have failed to meet fundamental obligations as a director, including mishandling customer assets, making misleading statements about fund management, and not maintaining adequate corporate records. These failures, ASIC claims, contributed to substantial financial losses for retail users of the exchange. As per the liquidators’ report, Blockchain Global owes over AUD 20 million in unsecured creditor claims from former ACX Exchange customers.</w:t>
      </w:r>
    </w:p>
    <w:p w14:paraId="5B42C3AD" w14:textId="77777777" w:rsidR="00C73DC1" w:rsidRPr="00C73DC1" w:rsidRDefault="00C73DC1" w:rsidP="00812AEA">
      <w:pPr>
        <w:jc w:val="both"/>
        <w:rPr>
          <w:rFonts w:eastAsia="Times New Roman"/>
          <w:bCs/>
          <w:lang w:val="en-PH"/>
        </w:rPr>
      </w:pPr>
      <w:r w:rsidRPr="00C73DC1">
        <w:rPr>
          <w:rFonts w:eastAsia="Times New Roman"/>
          <w:bCs/>
          <w:lang w:val="en-PH"/>
        </w:rPr>
        <w:t>The ACX Exchange was operational from mid-2016 until its collapse in December 2019, allowing users to buy, sell, and hold cryptocurrencies. Liquidators were appointed on 11 February 2022. A subsequent report filed with ASIC on 01 November 2023 identified potential breaches of the Australian</w:t>
      </w:r>
      <w:r w:rsidRPr="00C73DC1">
        <w:rPr>
          <w:rFonts w:eastAsia="Times New Roman"/>
          <w:bCs/>
          <w:i/>
          <w:iCs/>
          <w:lang w:val="en-PH"/>
        </w:rPr>
        <w:t> Corporations Act</w:t>
      </w:r>
      <w:r w:rsidRPr="00C73DC1">
        <w:rPr>
          <w:rFonts w:eastAsia="Times New Roman"/>
          <w:bCs/>
          <w:lang w:val="en-PH"/>
        </w:rPr>
        <w:t> by multiple former officeholders, including Mr. Guo. The report estimated total liabilities of AUD 58.6 million as of 2 October 2023, with approximately AUD 22.75 million attributable to claims by former exchange users. ASIC commenced its formal investigation in January 2024.</w:t>
      </w:r>
    </w:p>
    <w:p w14:paraId="2B59BC42" w14:textId="657DF0AC" w:rsidR="00C73DC1" w:rsidRPr="00C73DC1" w:rsidRDefault="00C73DC1" w:rsidP="00812AEA">
      <w:pPr>
        <w:jc w:val="both"/>
        <w:rPr>
          <w:rFonts w:eastAsia="Times New Roman"/>
          <w:bCs/>
          <w:lang w:val="en-PH"/>
        </w:rPr>
      </w:pPr>
      <w:r w:rsidRPr="00C73DC1">
        <w:rPr>
          <w:rFonts w:eastAsia="Times New Roman"/>
          <w:bCs/>
          <w:lang w:val="en-PH"/>
        </w:rPr>
        <w:t xml:space="preserve">Mr. Guo departed Australia on 23 September 2024, immediately following the expiration of </w:t>
      </w:r>
      <w:hyperlink r:id="rId49" w:history="1">
        <w:r w:rsidRPr="00DD6858">
          <w:rPr>
            <w:rStyle w:val="Hyperlink"/>
            <w:rFonts w:eastAsia="Times New Roman"/>
            <w:bCs/>
            <w:color w:val="FF6E00"/>
            <w:u w:val="none"/>
            <w:lang w:val="en-PH"/>
          </w:rPr>
          <w:t>travel restraint orders</w:t>
        </w:r>
      </w:hyperlink>
      <w:r w:rsidRPr="00C73DC1">
        <w:rPr>
          <w:rFonts w:eastAsia="Times New Roman"/>
          <w:bCs/>
          <w:lang w:val="en-PH"/>
        </w:rPr>
        <w:t xml:space="preserve"> issued earlier that year (reference: </w:t>
      </w:r>
      <w:hyperlink r:id="rId50" w:tgtFrame="_blank" w:history="1">
        <w:r w:rsidRPr="00C73DC1">
          <w:rPr>
            <w:rStyle w:val="Hyperlink"/>
            <w:rFonts w:eastAsia="Times New Roman"/>
            <w:bCs/>
            <w:color w:val="FF6E00"/>
            <w:u w:val="none"/>
            <w:lang w:val="en-PH"/>
          </w:rPr>
          <w:t>24-030MR</w:t>
        </w:r>
      </w:hyperlink>
      <w:r w:rsidRPr="00C73DC1">
        <w:rPr>
          <w:rFonts w:eastAsia="Times New Roman"/>
          <w:bCs/>
          <w:lang w:val="en-PH"/>
        </w:rPr>
        <w:t>), and has not returned to date.</w:t>
      </w:r>
    </w:p>
    <w:p w14:paraId="7AAFC75B" w14:textId="6E06EE40" w:rsidR="00E4055D" w:rsidRPr="000976A9" w:rsidRDefault="00C73DC1" w:rsidP="00812AEA">
      <w:pPr>
        <w:jc w:val="both"/>
        <w:rPr>
          <w:rFonts w:eastAsia="Times New Roman"/>
          <w:bCs/>
          <w:lang w:val="en-PH"/>
        </w:rPr>
      </w:pPr>
      <w:r w:rsidRPr="00C73DC1">
        <w:rPr>
          <w:rFonts w:eastAsia="Times New Roman"/>
          <w:bCs/>
          <w:lang w:val="en-PH"/>
        </w:rPr>
        <w:t>(Source: </w:t>
      </w:r>
      <w:hyperlink r:id="rId51" w:tgtFrame="_blank" w:history="1">
        <w:r w:rsidRPr="00C73DC1">
          <w:rPr>
            <w:rStyle w:val="Hyperlink"/>
            <w:rFonts w:eastAsia="Times New Roman"/>
            <w:bCs/>
            <w:color w:val="FF6E00"/>
            <w:lang w:val="en-PH"/>
          </w:rPr>
          <w:t>https://asic.gov.au/about-asic/news-centre/find-a-media-release/2025-releases/25-087mr-asic-sues-blockchain-global-former-director-for-multiple-directors-duties-breaches/</w:t>
        </w:r>
      </w:hyperlink>
      <w:r w:rsidRPr="00C73DC1">
        <w:rPr>
          <w:rFonts w:eastAsia="Times New Roman"/>
          <w:bCs/>
          <w:lang w:val="en-PH"/>
        </w:rPr>
        <w:t>)</w:t>
      </w:r>
    </w:p>
    <w:p w14:paraId="59A12483" w14:textId="77777777" w:rsidR="00E4055D" w:rsidRDefault="00E4055D" w:rsidP="00812AEA">
      <w:pPr>
        <w:jc w:val="both"/>
        <w:rPr>
          <w:rFonts w:eastAsia="Times New Roman"/>
          <w:bCs/>
          <w:lang w:val="en-PH"/>
        </w:rPr>
      </w:pPr>
    </w:p>
    <w:p w14:paraId="77115845" w14:textId="7F6F922F" w:rsidR="00E4055D" w:rsidRPr="00EC4C57" w:rsidRDefault="0081690F" w:rsidP="00812AEA">
      <w:pPr>
        <w:jc w:val="both"/>
        <w:rPr>
          <w:b/>
          <w:bCs/>
          <w:color w:val="FF6E00"/>
          <w:lang w:val="en-PH"/>
        </w:rPr>
      </w:pPr>
      <w:r w:rsidRPr="0081690F">
        <w:rPr>
          <w:b/>
          <w:bCs/>
          <w:color w:val="FF6E00"/>
          <w:lang w:val="en-PH"/>
        </w:rPr>
        <w:t>ASIC Seeks Clarification from Australian High Court on Crypto Products in Block Earner Case</w:t>
      </w:r>
    </w:p>
    <w:p w14:paraId="73C8A1C1" w14:textId="43775CF3" w:rsidR="0081690F" w:rsidRPr="0081690F" w:rsidRDefault="0081690F" w:rsidP="00812AEA">
      <w:pPr>
        <w:jc w:val="both"/>
        <w:rPr>
          <w:rFonts w:eastAsia="Times New Roman"/>
          <w:bCs/>
          <w:lang w:val="en-PH"/>
        </w:rPr>
      </w:pPr>
      <w:r w:rsidRPr="0081690F">
        <w:rPr>
          <w:rFonts w:eastAsia="Times New Roman"/>
          <w:bCs/>
          <w:lang w:val="en-PH"/>
        </w:rPr>
        <w:t>On 21 May 2025, the Australian Securities and Investments Commission (</w:t>
      </w:r>
      <w:r w:rsidRPr="0081690F">
        <w:rPr>
          <w:rFonts w:eastAsia="Times New Roman"/>
          <w:b/>
          <w:bCs/>
          <w:lang w:val="en-PH"/>
        </w:rPr>
        <w:t>ASIC</w:t>
      </w:r>
      <w:r w:rsidRPr="0081690F">
        <w:rPr>
          <w:rFonts w:eastAsia="Times New Roman"/>
          <w:bCs/>
          <w:lang w:val="en-PH"/>
        </w:rPr>
        <w:t xml:space="preserve">) </w:t>
      </w:r>
      <w:hyperlink r:id="rId52" w:history="1">
        <w:r w:rsidRPr="00116C8F">
          <w:rPr>
            <w:rStyle w:val="Hyperlink"/>
            <w:rFonts w:eastAsia="Times New Roman"/>
            <w:bCs/>
            <w:color w:val="FF6E00"/>
            <w:u w:val="none"/>
            <w:lang w:val="en-PH"/>
          </w:rPr>
          <w:t>announced</w:t>
        </w:r>
      </w:hyperlink>
      <w:r w:rsidRPr="00116C8F">
        <w:rPr>
          <w:rFonts w:eastAsia="Times New Roman"/>
          <w:bCs/>
          <w:color w:val="FF6E00"/>
          <w:lang w:val="en-PH"/>
        </w:rPr>
        <w:t xml:space="preserve"> </w:t>
      </w:r>
      <w:r w:rsidRPr="0081690F">
        <w:rPr>
          <w:rFonts w:eastAsia="Times New Roman"/>
          <w:bCs/>
          <w:lang w:val="en-PH"/>
        </w:rPr>
        <w:t xml:space="preserve">it is seeking special leave from the High Court of Australia, the apex court, to appeal a ruling by the Australian Full </w:t>
      </w:r>
      <w:r w:rsidRPr="0081690F">
        <w:rPr>
          <w:rFonts w:eastAsia="Times New Roman"/>
          <w:bCs/>
          <w:lang w:val="en-PH"/>
        </w:rPr>
        <w:lastRenderedPageBreak/>
        <w:t>Federal Court in the ongoing regulatory dispute with Web3 Ventures Pty Ltd, trading as Block Earner. The appeal seeks judicial clarity on the interpretation of the term “financial product” under Australian law, particularly in relation to crypto-asset products offering fixed-yield returns.</w:t>
      </w:r>
    </w:p>
    <w:p w14:paraId="72F25A7A" w14:textId="77777777" w:rsidR="0081690F" w:rsidRPr="0081690F" w:rsidRDefault="0081690F" w:rsidP="00812AEA">
      <w:pPr>
        <w:jc w:val="both"/>
        <w:rPr>
          <w:rFonts w:eastAsia="Times New Roman"/>
          <w:bCs/>
          <w:lang w:val="en-PH"/>
        </w:rPr>
      </w:pPr>
      <w:r w:rsidRPr="0081690F">
        <w:rPr>
          <w:rFonts w:eastAsia="Times New Roman"/>
          <w:bCs/>
          <w:lang w:val="en-PH"/>
        </w:rPr>
        <w:t xml:space="preserve">The contested product, Block Earner’s “Earner” product, allowed customers to earn a fixed yield by lending specified </w:t>
      </w:r>
      <w:proofErr w:type="gramStart"/>
      <w:r w:rsidRPr="0081690F">
        <w:rPr>
          <w:rFonts w:eastAsia="Times New Roman"/>
          <w:bCs/>
          <w:lang w:val="en-PH"/>
        </w:rPr>
        <w:t>crypto-assets</w:t>
      </w:r>
      <w:proofErr w:type="gramEnd"/>
      <w:r w:rsidRPr="0081690F">
        <w:rPr>
          <w:rFonts w:eastAsia="Times New Roman"/>
          <w:bCs/>
          <w:lang w:val="en-PH"/>
        </w:rPr>
        <w:t>. The Australian Full Federal Court had ruled that the Earner product did not constitute a financial product under the Australian </w:t>
      </w:r>
      <w:hyperlink r:id="rId53" w:tgtFrame="_blank" w:history="1">
        <w:r w:rsidRPr="0081690F">
          <w:rPr>
            <w:rStyle w:val="Hyperlink"/>
            <w:rFonts w:eastAsia="Times New Roman"/>
            <w:bCs/>
            <w:color w:val="FF6E00"/>
            <w:u w:val="none"/>
            <w:lang w:val="en-PH"/>
          </w:rPr>
          <w:t>Corporations Act 2001</w:t>
        </w:r>
      </w:hyperlink>
      <w:r w:rsidRPr="0081690F">
        <w:rPr>
          <w:rFonts w:eastAsia="Times New Roman"/>
          <w:bCs/>
          <w:lang w:val="en-PH"/>
        </w:rPr>
        <w:t>, a finding that ASIC seeks to contests. ASIC contends that the definition of financial product was deliberately drafted to be broad and technology-</w:t>
      </w:r>
      <w:proofErr w:type="gramStart"/>
      <w:r w:rsidRPr="0081690F">
        <w:rPr>
          <w:rFonts w:eastAsia="Times New Roman"/>
          <w:bCs/>
          <w:lang w:val="en-PH"/>
        </w:rPr>
        <w:t>neutral, and</w:t>
      </w:r>
      <w:proofErr w:type="gramEnd"/>
      <w:r w:rsidRPr="0081690F">
        <w:rPr>
          <w:rFonts w:eastAsia="Times New Roman"/>
          <w:bCs/>
          <w:lang w:val="en-PH"/>
        </w:rPr>
        <w:t xml:space="preserve"> thus should encompass emerging crypto-asset-based interest products. The ASIC states that clarification from the Australian High Court is required in the public interest, given its implications for the regulation of all financial products, not limited to the crypto sector.</w:t>
      </w:r>
    </w:p>
    <w:p w14:paraId="5685F3C7" w14:textId="77777777" w:rsidR="0081690F" w:rsidRPr="0081690F" w:rsidRDefault="0081690F" w:rsidP="00812AEA">
      <w:pPr>
        <w:jc w:val="both"/>
        <w:rPr>
          <w:rFonts w:eastAsia="Times New Roman"/>
          <w:bCs/>
          <w:lang w:val="en-PH"/>
        </w:rPr>
      </w:pPr>
      <w:r w:rsidRPr="0081690F">
        <w:rPr>
          <w:rFonts w:eastAsia="Times New Roman"/>
          <w:bCs/>
          <w:lang w:val="en-PH"/>
        </w:rPr>
        <w:t>On 9 February 2024, the Australian Federal Court initially found that Block Earner had engaged in unlicensed financial services conduct between March and November 2022 by offering its Earner product. However, the Australian Federal Court dismissed ASIC’s claims regarding another offering, the “Access” product, finding it was not a financial product. On 4 June 2024, Block Earner was relieved from any penalty liability for the Earner product, prompting ASIC’s appeal on 18 June 2024. Block Earner cross-appealed on 9 July 2024, challenging the court’s earlier conclusion that it needed a financial services licence.</w:t>
      </w:r>
    </w:p>
    <w:p w14:paraId="6BE60410" w14:textId="77777777" w:rsidR="0081690F" w:rsidRPr="0081690F" w:rsidRDefault="0081690F" w:rsidP="00812AEA">
      <w:pPr>
        <w:jc w:val="both"/>
        <w:rPr>
          <w:rFonts w:eastAsia="Times New Roman"/>
          <w:bCs/>
          <w:lang w:val="en-PH"/>
        </w:rPr>
      </w:pPr>
      <w:r w:rsidRPr="0081690F">
        <w:rPr>
          <w:rFonts w:eastAsia="Times New Roman"/>
          <w:bCs/>
          <w:lang w:val="en-PH"/>
        </w:rPr>
        <w:t>The Full Federal Court heard both the appeal and cross-appeal on 6 March 2025 and ultimately ruled in favour of Block Earner on 22 April 2025, overturning the previous decision and dismissing ASIC’s appeal. ASIC is now taking the matter to the Australian High Court, with a hearing date yet to be fixed.</w:t>
      </w:r>
    </w:p>
    <w:p w14:paraId="3C5B9F66" w14:textId="799FC7E9" w:rsidR="00BB25B7" w:rsidRDefault="0081690F" w:rsidP="00812AEA">
      <w:pPr>
        <w:jc w:val="both"/>
        <w:rPr>
          <w:rFonts w:eastAsia="Times New Roman"/>
          <w:bCs/>
          <w:lang w:val="en-PH"/>
        </w:rPr>
      </w:pPr>
      <w:r w:rsidRPr="0081690F">
        <w:rPr>
          <w:rFonts w:eastAsia="Times New Roman"/>
          <w:bCs/>
          <w:lang w:val="en-PH"/>
        </w:rPr>
        <w:t>(Source: </w:t>
      </w:r>
      <w:hyperlink r:id="rId54" w:tgtFrame="_blank" w:history="1">
        <w:r w:rsidRPr="0081690F">
          <w:rPr>
            <w:rStyle w:val="Hyperlink"/>
            <w:rFonts w:eastAsia="Times New Roman"/>
            <w:bCs/>
            <w:color w:val="FF6E00"/>
            <w:lang w:val="en-PH"/>
          </w:rPr>
          <w:t>https://asic.gov.au/about-asic/news-centre/find-a-media-release/2025-releases/25-082mr-asic-seeks-leave-from-high-court-to-appeal-block-earner-decision/</w:t>
        </w:r>
      </w:hyperlink>
      <w:r w:rsidRPr="0081690F">
        <w:rPr>
          <w:rFonts w:eastAsia="Times New Roman"/>
          <w:bCs/>
          <w:lang w:val="en-PH"/>
        </w:rPr>
        <w:t>)</w:t>
      </w:r>
    </w:p>
    <w:p w14:paraId="05AEE2F3" w14:textId="77777777" w:rsidR="00EF27ED" w:rsidRDefault="00EF27ED" w:rsidP="00C73CCD">
      <w:pPr>
        <w:rPr>
          <w:rFonts w:eastAsia="Times New Roman"/>
          <w:bCs/>
          <w:lang w:val="en-PH"/>
        </w:rPr>
      </w:pPr>
    </w:p>
    <w:p w14:paraId="462F5A31" w14:textId="77777777" w:rsidR="00DE346B" w:rsidRDefault="00DE346B" w:rsidP="00C73CCD">
      <w:pPr>
        <w:rPr>
          <w:rFonts w:eastAsia="Times New Roman"/>
          <w:bCs/>
          <w:lang w:val="en-PH"/>
        </w:rPr>
      </w:pPr>
    </w:p>
    <w:p w14:paraId="31A6A58D" w14:textId="77777777" w:rsidR="006330E5" w:rsidRDefault="006330E5" w:rsidP="00C73CCD">
      <w:pPr>
        <w:rPr>
          <w:rFonts w:eastAsia="Times New Roman"/>
          <w:bCs/>
          <w:lang w:val="en-PH"/>
        </w:rPr>
      </w:pPr>
    </w:p>
    <w:p w14:paraId="1FB6C5F9" w14:textId="77777777" w:rsidR="006330E5" w:rsidRDefault="006330E5" w:rsidP="00C73CCD">
      <w:pPr>
        <w:rPr>
          <w:rFonts w:eastAsia="Times New Roman"/>
          <w:bCs/>
          <w:lang w:val="en-PH"/>
        </w:rPr>
      </w:pPr>
    </w:p>
    <w:p w14:paraId="3AB97B3F" w14:textId="77777777" w:rsidR="006330E5" w:rsidRDefault="006330E5" w:rsidP="00C73CCD">
      <w:pPr>
        <w:rPr>
          <w:rFonts w:eastAsia="Times New Roman"/>
          <w:bCs/>
          <w:lang w:val="en-PH"/>
        </w:rPr>
      </w:pPr>
    </w:p>
    <w:p w14:paraId="0FA01DE9" w14:textId="77777777" w:rsidR="006330E5" w:rsidRDefault="006330E5" w:rsidP="00C73CCD">
      <w:pPr>
        <w:rPr>
          <w:rFonts w:eastAsia="Times New Roman"/>
          <w:bCs/>
          <w:lang w:val="en-PH"/>
        </w:rPr>
      </w:pPr>
    </w:p>
    <w:p w14:paraId="2DABF700" w14:textId="77777777" w:rsidR="006330E5" w:rsidRDefault="006330E5" w:rsidP="00C73CCD">
      <w:pPr>
        <w:rPr>
          <w:rFonts w:eastAsia="Times New Roman"/>
          <w:bCs/>
          <w:lang w:val="en-PH"/>
        </w:rPr>
      </w:pPr>
    </w:p>
    <w:p w14:paraId="6D8B3A86" w14:textId="77777777" w:rsidR="006330E5" w:rsidRDefault="006330E5" w:rsidP="00C73CCD">
      <w:pPr>
        <w:rPr>
          <w:rFonts w:eastAsia="Times New Roman"/>
          <w:bCs/>
          <w:lang w:val="en-PH"/>
        </w:rPr>
      </w:pPr>
    </w:p>
    <w:p w14:paraId="6C73B5B7" w14:textId="77777777" w:rsidR="006330E5" w:rsidRDefault="006330E5" w:rsidP="00C73CCD">
      <w:pPr>
        <w:rPr>
          <w:rFonts w:eastAsia="Times New Roman"/>
          <w:bCs/>
          <w:lang w:val="en-PH"/>
        </w:rPr>
      </w:pPr>
    </w:p>
    <w:p w14:paraId="14E8A076" w14:textId="77777777" w:rsidR="006330E5" w:rsidRDefault="006330E5" w:rsidP="00C73CCD">
      <w:pPr>
        <w:rPr>
          <w:rFonts w:eastAsia="Times New Roman"/>
          <w:bCs/>
          <w:lang w:val="en-PH"/>
        </w:rPr>
      </w:pPr>
    </w:p>
    <w:p w14:paraId="0443AFCE" w14:textId="77777777" w:rsidR="006330E5" w:rsidRDefault="006330E5" w:rsidP="00C73CCD">
      <w:pPr>
        <w:rPr>
          <w:rFonts w:eastAsia="Times New Roman"/>
          <w:bCs/>
          <w:lang w:val="en-PH"/>
        </w:rPr>
      </w:pPr>
    </w:p>
    <w:p w14:paraId="517ABC0E" w14:textId="77777777" w:rsidR="006330E5" w:rsidRDefault="006330E5" w:rsidP="00C73CCD">
      <w:pPr>
        <w:rPr>
          <w:rFonts w:eastAsia="Times New Roman"/>
          <w:bCs/>
          <w:lang w:val="en-PH"/>
        </w:rPr>
      </w:pPr>
    </w:p>
    <w:p w14:paraId="04A7D9C3" w14:textId="77777777" w:rsidR="006330E5" w:rsidRDefault="006330E5" w:rsidP="00C73CCD">
      <w:pPr>
        <w:rPr>
          <w:rFonts w:eastAsia="Times New Roman"/>
          <w:bCs/>
          <w:lang w:val="en-PH"/>
        </w:rPr>
      </w:pPr>
    </w:p>
    <w:p w14:paraId="020470A1" w14:textId="77777777" w:rsidR="00DE346B" w:rsidRPr="00AD3CFC" w:rsidRDefault="00DE346B" w:rsidP="00C73CCD">
      <w:pPr>
        <w:rPr>
          <w:rFonts w:eastAsia="Times New Roman"/>
          <w:bCs/>
          <w:lang w:val="en-PH"/>
        </w:rPr>
      </w:pPr>
    </w:p>
    <w:p w14:paraId="3502109F" w14:textId="77777777" w:rsidR="000608FB" w:rsidRPr="000608FB" w:rsidRDefault="00840613" w:rsidP="00840613">
      <w:pPr>
        <w:pStyle w:val="Disclaimer"/>
        <w:rPr>
          <w:rFonts w:ascii="Arial" w:hAnsi="Arial" w:cs="Arial"/>
          <w:b/>
          <w:bCs/>
          <w:sz w:val="22"/>
          <w:szCs w:val="22"/>
        </w:rPr>
      </w:pPr>
      <w:r w:rsidRPr="000608FB">
        <w:rPr>
          <w:rFonts w:ascii="Arial" w:hAnsi="Arial" w:cs="Arial"/>
          <w:b/>
          <w:bCs/>
          <w:sz w:val="22"/>
          <w:szCs w:val="22"/>
        </w:rPr>
        <w:lastRenderedPageBreak/>
        <w:t>This newsletter is for information purposes only</w:t>
      </w:r>
      <w:r w:rsidR="000608FB" w:rsidRPr="000608FB">
        <w:rPr>
          <w:rFonts w:ascii="Arial" w:hAnsi="Arial" w:cs="Arial"/>
          <w:b/>
          <w:bCs/>
          <w:sz w:val="22"/>
          <w:szCs w:val="22"/>
        </w:rPr>
        <w:t>.</w:t>
      </w:r>
    </w:p>
    <w:p w14:paraId="2B446EEB" w14:textId="77777777" w:rsidR="000608FB" w:rsidRDefault="00840613" w:rsidP="00840613">
      <w:pPr>
        <w:pStyle w:val="Disclaimer"/>
        <w:rPr>
          <w:rFonts w:ascii="Arial" w:hAnsi="Arial" w:cs="Arial"/>
          <w:sz w:val="22"/>
          <w:szCs w:val="22"/>
        </w:rPr>
      </w:pPr>
      <w:r w:rsidRPr="00840613">
        <w:rPr>
          <w:rFonts w:ascii="Arial" w:hAnsi="Arial" w:cs="Arial"/>
          <w:sz w:val="22"/>
          <w:szCs w:val="22"/>
        </w:rPr>
        <w:t>This newsletter and the information contained herein is not intended to be a source of advice or credit analysis with respect to the material presented, and the information and/or documents contained in this newsletter do not constitute investment advice.</w:t>
      </w:r>
    </w:p>
    <w:p w14:paraId="7B5FE7F6" w14:textId="77777777" w:rsidR="000608FB" w:rsidRDefault="00840613" w:rsidP="00840613">
      <w:pPr>
        <w:pStyle w:val="Disclaimer"/>
        <w:rPr>
          <w:rFonts w:ascii="Arial" w:hAnsi="Arial" w:cs="Arial"/>
          <w:sz w:val="22"/>
          <w:szCs w:val="22"/>
        </w:rPr>
      </w:pPr>
      <w:r w:rsidRPr="00840613">
        <w:rPr>
          <w:rFonts w:ascii="Arial" w:hAnsi="Arial" w:cs="Arial"/>
          <w:sz w:val="22"/>
          <w:szCs w:val="22"/>
        </w:rPr>
        <w:t xml:space="preserve">Cryptocurrency markets are highly volatile and speculative in nature. The value of cryptocurrencies can fluctuate greatly within a short period of time. Investing in cryptocurrencies carries significant risks of loss. You should only </w:t>
      </w:r>
      <w:proofErr w:type="gramStart"/>
      <w:r w:rsidRPr="00840613">
        <w:rPr>
          <w:rFonts w:ascii="Arial" w:hAnsi="Arial" w:cs="Arial"/>
          <w:sz w:val="22"/>
          <w:szCs w:val="22"/>
        </w:rPr>
        <w:t>invest</w:t>
      </w:r>
      <w:proofErr w:type="gramEnd"/>
      <w:r w:rsidRPr="00840613">
        <w:rPr>
          <w:rFonts w:ascii="Arial" w:hAnsi="Arial" w:cs="Arial"/>
          <w:sz w:val="22"/>
          <w:szCs w:val="22"/>
        </w:rPr>
        <w:t xml:space="preserve"> what you are prepared to lose.</w:t>
      </w:r>
    </w:p>
    <w:p w14:paraId="2952CA38" w14:textId="77777777" w:rsidR="000608FB" w:rsidRDefault="00840613" w:rsidP="00840613">
      <w:pPr>
        <w:pStyle w:val="Disclaimer"/>
        <w:rPr>
          <w:rFonts w:ascii="Arial" w:hAnsi="Arial" w:cs="Arial"/>
          <w:sz w:val="22"/>
          <w:szCs w:val="22"/>
        </w:rPr>
      </w:pPr>
      <w:r w:rsidRPr="00840613">
        <w:rPr>
          <w:rFonts w:ascii="Arial" w:hAnsi="Arial" w:cs="Arial"/>
          <w:sz w:val="22"/>
          <w:szCs w:val="22"/>
        </w:rPr>
        <w:t xml:space="preserve">The content on this newsletter is for informational purposes only. You should not construe any such information or other material as legal, tax, investment, financial, or other advice. Nothing contained </w:t>
      </w:r>
      <w:proofErr w:type="gramStart"/>
      <w:r w:rsidRPr="00840613">
        <w:rPr>
          <w:rFonts w:ascii="Arial" w:hAnsi="Arial" w:cs="Arial"/>
          <w:sz w:val="22"/>
          <w:szCs w:val="22"/>
        </w:rPr>
        <w:t>on</w:t>
      </w:r>
      <w:proofErr w:type="gramEnd"/>
      <w:r w:rsidRPr="00840613">
        <w:rPr>
          <w:rFonts w:ascii="Arial" w:hAnsi="Arial" w:cs="Arial"/>
          <w:sz w:val="22"/>
          <w:szCs w:val="22"/>
        </w:rPr>
        <w:t xml:space="preserve"> our newsletter constitutes a solicitation, recommendation, endorsement, or offer to buy or sell any cryptocurrencies, securities, or other financial instruments.</w:t>
      </w:r>
    </w:p>
    <w:p w14:paraId="682497F0" w14:textId="77777777" w:rsidR="000608FB" w:rsidRDefault="00840613" w:rsidP="00840613">
      <w:pPr>
        <w:pStyle w:val="Disclaimer"/>
        <w:rPr>
          <w:rFonts w:ascii="Arial" w:hAnsi="Arial" w:cs="Arial"/>
          <w:sz w:val="22"/>
          <w:szCs w:val="22"/>
        </w:rPr>
      </w:pPr>
      <w:r w:rsidRPr="00840613">
        <w:rPr>
          <w:rFonts w:ascii="Arial" w:hAnsi="Arial" w:cs="Arial"/>
          <w:sz w:val="22"/>
          <w:szCs w:val="22"/>
        </w:rPr>
        <w:t>We do not guarantee or warrant the accuracy, completeness, or usefulness of any information on this site. Any reliance you place on such information is strictly at your own risk. We disclaim all liability and responsibility arising from any reliance placed on such materials by you or any other visitor to this newsletter, or by anyone who may be informed of any of its contents.</w:t>
      </w:r>
    </w:p>
    <w:p w14:paraId="5EE5CAF8" w14:textId="77777777" w:rsidR="000608FB" w:rsidRDefault="00840613" w:rsidP="00840613">
      <w:pPr>
        <w:pStyle w:val="Disclaimer"/>
        <w:rPr>
          <w:rFonts w:ascii="Arial" w:hAnsi="Arial" w:cs="Arial"/>
          <w:sz w:val="22"/>
          <w:szCs w:val="22"/>
        </w:rPr>
      </w:pPr>
      <w:r w:rsidRPr="00840613">
        <w:rPr>
          <w:rFonts w:ascii="Arial" w:hAnsi="Arial" w:cs="Arial"/>
          <w:sz w:val="22"/>
          <w:szCs w:val="22"/>
        </w:rPr>
        <w:t xml:space="preserve">Your use of this newsletter and your reliance on any information on the site is solely at your own risk. Under no circumstances shall we have any liability to you for any loss or damage of any kind incurred </w:t>
      </w:r>
      <w:proofErr w:type="gramStart"/>
      <w:r w:rsidRPr="00840613">
        <w:rPr>
          <w:rFonts w:ascii="Arial" w:hAnsi="Arial" w:cs="Arial"/>
          <w:sz w:val="22"/>
          <w:szCs w:val="22"/>
        </w:rPr>
        <w:t>as a result of</w:t>
      </w:r>
      <w:proofErr w:type="gramEnd"/>
      <w:r w:rsidRPr="00840613">
        <w:rPr>
          <w:rFonts w:ascii="Arial" w:hAnsi="Arial" w:cs="Arial"/>
          <w:sz w:val="22"/>
          <w:szCs w:val="22"/>
        </w:rPr>
        <w:t xml:space="preserve"> the use of the newsletter or reliance on any information provided on the newsletter.</w:t>
      </w:r>
    </w:p>
    <w:p w14:paraId="30A884CE" w14:textId="77777777" w:rsidR="00B4763A" w:rsidRPr="000608FB" w:rsidRDefault="00B4763A" w:rsidP="00840613">
      <w:pPr>
        <w:pStyle w:val="Disclaimer"/>
        <w:rPr>
          <w:rFonts w:ascii="Arial" w:hAnsi="Arial" w:cs="Arial"/>
          <w:sz w:val="22"/>
          <w:szCs w:val="22"/>
        </w:rPr>
      </w:pPr>
      <w:r w:rsidRPr="00C46FF7">
        <w:rPr>
          <w:rFonts w:ascii="Arial" w:hAnsi="Arial" w:cs="Arial"/>
          <w:sz w:val="22"/>
          <w:szCs w:val="22"/>
          <w:lang w:val="en-GB"/>
        </w:rPr>
        <w:t xml:space="preserve">If you do not wish to receive this newsletter please let us know by emailing us at  </w:t>
      </w:r>
      <w:hyperlink r:id="rId55">
        <w:r w:rsidRPr="00C46FF7">
          <w:rPr>
            <w:rFonts w:ascii="Arial" w:hAnsi="Arial" w:cs="Arial"/>
            <w:sz w:val="22"/>
            <w:szCs w:val="22"/>
            <w:lang w:val="en-GB"/>
          </w:rPr>
          <w:t>unsubscribe@charltonslaw.com</w:t>
        </w:r>
      </w:hyperlink>
    </w:p>
    <w:p w14:paraId="4BFB9E37" w14:textId="2A066818" w:rsidR="00A57542" w:rsidRPr="002A32F6" w:rsidRDefault="00B4763A" w:rsidP="00BC6331">
      <w:pPr>
        <w:pStyle w:val="BlackStrips"/>
        <w:rPr>
          <w:rFonts w:ascii="Arial" w:hAnsi="Arial" w:cs="Arial"/>
          <w:sz w:val="22"/>
          <w:szCs w:val="22"/>
          <w:lang w:val="en-GB"/>
        </w:rPr>
      </w:pPr>
      <w:bookmarkStart w:id="0" w:name="_Hlk171091278"/>
      <w:r w:rsidRPr="002A32F6">
        <w:rPr>
          <w:rFonts w:ascii="Arial" w:hAnsi="Arial" w:cs="Arial"/>
          <w:sz w:val="22"/>
          <w:szCs w:val="22"/>
          <w:lang w:val="en-GB"/>
        </w:rPr>
        <w:t>Charltons</w:t>
      </w:r>
      <w:r w:rsidR="00840613" w:rsidRPr="002A32F6">
        <w:rPr>
          <w:rFonts w:ascii="Arial" w:hAnsi="Arial" w:cs="Arial"/>
          <w:sz w:val="22"/>
          <w:szCs w:val="22"/>
          <w:lang w:val="en-GB"/>
        </w:rPr>
        <w:t xml:space="preserve"> Quantum</w:t>
      </w:r>
      <w:r w:rsidR="00496C17">
        <w:rPr>
          <w:rFonts w:ascii="Arial" w:hAnsi="Arial" w:cs="Arial"/>
          <w:sz w:val="22"/>
          <w:szCs w:val="22"/>
          <w:lang w:val="en-GB"/>
        </w:rPr>
        <w:t xml:space="preserve"> </w:t>
      </w:r>
      <w:r w:rsidR="00840613" w:rsidRPr="002A32F6">
        <w:rPr>
          <w:rFonts w:ascii="Arial" w:hAnsi="Arial" w:cs="Arial"/>
          <w:sz w:val="22"/>
          <w:szCs w:val="22"/>
          <w:lang w:val="en-GB"/>
        </w:rPr>
        <w:t>–</w:t>
      </w:r>
      <w:r w:rsidR="00496C17">
        <w:rPr>
          <w:rFonts w:ascii="Arial" w:hAnsi="Arial" w:cs="Arial"/>
          <w:sz w:val="22"/>
          <w:szCs w:val="22"/>
          <w:lang w:val="en-GB"/>
        </w:rPr>
        <w:t xml:space="preserve"> </w:t>
      </w:r>
      <w:r w:rsidR="00EA4F77">
        <w:rPr>
          <w:rFonts w:ascii="Arial" w:hAnsi="Arial" w:cs="Arial"/>
          <w:sz w:val="22"/>
          <w:szCs w:val="22"/>
          <w:lang w:val="en-GB"/>
        </w:rPr>
        <w:t>Quantum</w:t>
      </w:r>
      <w:r w:rsidR="00840613" w:rsidRPr="002A32F6">
        <w:rPr>
          <w:rFonts w:ascii="Arial" w:hAnsi="Arial" w:cs="Arial"/>
          <w:sz w:val="22"/>
          <w:szCs w:val="22"/>
          <w:lang w:val="en-GB"/>
        </w:rPr>
        <w:t xml:space="preserve"> Updates</w:t>
      </w:r>
      <w:r w:rsidR="00496C17">
        <w:rPr>
          <w:rFonts w:ascii="Arial" w:hAnsi="Arial" w:cs="Arial"/>
          <w:sz w:val="22"/>
          <w:szCs w:val="22"/>
          <w:lang w:val="en-GB"/>
        </w:rPr>
        <w:t xml:space="preserve"> </w:t>
      </w:r>
      <w:r w:rsidR="00631E57">
        <w:rPr>
          <w:rFonts w:ascii="Arial" w:hAnsi="Arial" w:cs="Arial"/>
          <w:sz w:val="22"/>
          <w:szCs w:val="22"/>
          <w:lang w:val="en-GB"/>
        </w:rPr>
        <w:t>4</w:t>
      </w:r>
      <w:r w:rsidR="003D49C2">
        <w:rPr>
          <w:rFonts w:ascii="Arial" w:hAnsi="Arial" w:cs="Arial"/>
          <w:sz w:val="22"/>
          <w:szCs w:val="22"/>
          <w:lang w:val="en-GB"/>
        </w:rPr>
        <w:t>8</w:t>
      </w:r>
      <w:r w:rsidR="00840613" w:rsidRPr="002A32F6">
        <w:rPr>
          <w:rFonts w:ascii="Arial" w:hAnsi="Arial" w:cs="Arial"/>
          <w:sz w:val="22"/>
          <w:szCs w:val="22"/>
          <w:lang w:val="en-GB"/>
        </w:rPr>
        <w:t xml:space="preserve"> </w:t>
      </w:r>
      <w:r w:rsidRPr="002A32F6">
        <w:rPr>
          <w:rFonts w:ascii="Arial" w:hAnsi="Arial" w:cs="Arial"/>
          <w:sz w:val="22"/>
          <w:szCs w:val="22"/>
          <w:lang w:val="en-GB"/>
        </w:rPr>
        <w:t xml:space="preserve">– </w:t>
      </w:r>
      <w:r w:rsidR="003D49C2">
        <w:rPr>
          <w:rFonts w:ascii="Arial" w:eastAsia="Cambria" w:hAnsi="Arial" w:cs="Arial"/>
          <w:sz w:val="22"/>
          <w:szCs w:val="22"/>
          <w:lang w:val="en-GB"/>
        </w:rPr>
        <w:t>June</w:t>
      </w:r>
      <w:r w:rsidRPr="002A32F6">
        <w:rPr>
          <w:rFonts w:ascii="Arial" w:eastAsia="Cambria" w:hAnsi="Arial" w:cs="Arial"/>
          <w:sz w:val="22"/>
          <w:szCs w:val="22"/>
          <w:lang w:val="en-GB"/>
        </w:rPr>
        <w:t xml:space="preserve"> 202</w:t>
      </w:r>
      <w:bookmarkEnd w:id="0"/>
      <w:r w:rsidR="00271608">
        <w:rPr>
          <w:rFonts w:ascii="Arial" w:eastAsia="Cambria" w:hAnsi="Arial" w:cs="Arial"/>
          <w:sz w:val="22"/>
          <w:szCs w:val="22"/>
          <w:lang w:val="en-GB"/>
        </w:rPr>
        <w:t>5</w:t>
      </w:r>
    </w:p>
    <w:sectPr w:rsidR="00A57542" w:rsidRPr="002A32F6" w:rsidSect="002D1B99">
      <w:headerReference w:type="even" r:id="rId56"/>
      <w:headerReference w:type="default" r:id="rId57"/>
      <w:footerReference w:type="even" r:id="rId58"/>
      <w:footerReference w:type="default" r:id="rId59"/>
      <w:headerReference w:type="first" r:id="rId60"/>
      <w:footerReference w:type="first" r:id="rId6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CED331" w14:textId="77777777" w:rsidR="0060489D" w:rsidRDefault="0060489D" w:rsidP="009101EB">
      <w:pPr>
        <w:spacing w:after="0" w:line="240" w:lineRule="auto"/>
      </w:pPr>
      <w:r>
        <w:separator/>
      </w:r>
    </w:p>
  </w:endnote>
  <w:endnote w:type="continuationSeparator" w:id="0">
    <w:p w14:paraId="05DB208F" w14:textId="77777777" w:rsidR="0060489D" w:rsidRDefault="0060489D" w:rsidP="009101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9C95E" w14:textId="77777777" w:rsidR="009101EB" w:rsidRDefault="009101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06F1A" w14:textId="77777777" w:rsidR="009101EB" w:rsidRDefault="009101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53275" w14:textId="77777777" w:rsidR="009101EB" w:rsidRDefault="009101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ACA829" w14:textId="77777777" w:rsidR="0060489D" w:rsidRDefault="0060489D" w:rsidP="009101EB">
      <w:pPr>
        <w:spacing w:after="0" w:line="240" w:lineRule="auto"/>
      </w:pPr>
      <w:r>
        <w:separator/>
      </w:r>
    </w:p>
  </w:footnote>
  <w:footnote w:type="continuationSeparator" w:id="0">
    <w:p w14:paraId="0D74B3CA" w14:textId="77777777" w:rsidR="0060489D" w:rsidRDefault="0060489D" w:rsidP="009101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E8189" w14:textId="77777777" w:rsidR="009101EB" w:rsidRDefault="009101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616B9" w14:textId="77777777" w:rsidR="009101EB" w:rsidRDefault="009101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F1436" w14:textId="77777777" w:rsidR="009101EB" w:rsidRDefault="009101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24C58"/>
    <w:multiLevelType w:val="multilevel"/>
    <w:tmpl w:val="2E4C69FA"/>
    <w:lvl w:ilvl="0">
      <w:start w:val="1"/>
      <w:numFmt w:val="bullet"/>
      <w:lvlText w:val=""/>
      <w:lvlJc w:val="left"/>
      <w:pPr>
        <w:tabs>
          <w:tab w:val="num" w:pos="9574"/>
        </w:tabs>
        <w:ind w:left="9574" w:hanging="360"/>
      </w:pPr>
      <w:rPr>
        <w:rFonts w:ascii="Symbol" w:hAnsi="Symbol" w:hint="default"/>
        <w:sz w:val="20"/>
      </w:rPr>
    </w:lvl>
    <w:lvl w:ilvl="1">
      <w:start w:val="1"/>
      <w:numFmt w:val="bullet"/>
      <w:lvlText w:val="o"/>
      <w:lvlJc w:val="left"/>
      <w:pPr>
        <w:tabs>
          <w:tab w:val="num" w:pos="10294"/>
        </w:tabs>
        <w:ind w:left="10294" w:hanging="360"/>
      </w:pPr>
      <w:rPr>
        <w:rFonts w:ascii="Courier New" w:hAnsi="Courier New" w:hint="default"/>
        <w:sz w:val="20"/>
      </w:rPr>
    </w:lvl>
    <w:lvl w:ilvl="2" w:tentative="1">
      <w:start w:val="1"/>
      <w:numFmt w:val="bullet"/>
      <w:lvlText w:val=""/>
      <w:lvlJc w:val="left"/>
      <w:pPr>
        <w:tabs>
          <w:tab w:val="num" w:pos="11014"/>
        </w:tabs>
        <w:ind w:left="11014" w:hanging="360"/>
      </w:pPr>
      <w:rPr>
        <w:rFonts w:ascii="Wingdings" w:hAnsi="Wingdings" w:hint="default"/>
        <w:sz w:val="20"/>
      </w:rPr>
    </w:lvl>
    <w:lvl w:ilvl="3" w:tentative="1">
      <w:start w:val="1"/>
      <w:numFmt w:val="bullet"/>
      <w:lvlText w:val=""/>
      <w:lvlJc w:val="left"/>
      <w:pPr>
        <w:tabs>
          <w:tab w:val="num" w:pos="11734"/>
        </w:tabs>
        <w:ind w:left="11734" w:hanging="360"/>
      </w:pPr>
      <w:rPr>
        <w:rFonts w:ascii="Wingdings" w:hAnsi="Wingdings" w:hint="default"/>
        <w:sz w:val="20"/>
      </w:rPr>
    </w:lvl>
    <w:lvl w:ilvl="4" w:tentative="1">
      <w:start w:val="1"/>
      <w:numFmt w:val="bullet"/>
      <w:lvlText w:val=""/>
      <w:lvlJc w:val="left"/>
      <w:pPr>
        <w:tabs>
          <w:tab w:val="num" w:pos="12454"/>
        </w:tabs>
        <w:ind w:left="12454" w:hanging="360"/>
      </w:pPr>
      <w:rPr>
        <w:rFonts w:ascii="Wingdings" w:hAnsi="Wingdings" w:hint="default"/>
        <w:sz w:val="20"/>
      </w:rPr>
    </w:lvl>
    <w:lvl w:ilvl="5" w:tentative="1">
      <w:start w:val="1"/>
      <w:numFmt w:val="bullet"/>
      <w:lvlText w:val=""/>
      <w:lvlJc w:val="left"/>
      <w:pPr>
        <w:tabs>
          <w:tab w:val="num" w:pos="13174"/>
        </w:tabs>
        <w:ind w:left="13174" w:hanging="360"/>
      </w:pPr>
      <w:rPr>
        <w:rFonts w:ascii="Wingdings" w:hAnsi="Wingdings" w:hint="default"/>
        <w:sz w:val="20"/>
      </w:rPr>
    </w:lvl>
    <w:lvl w:ilvl="6" w:tentative="1">
      <w:start w:val="1"/>
      <w:numFmt w:val="bullet"/>
      <w:lvlText w:val=""/>
      <w:lvlJc w:val="left"/>
      <w:pPr>
        <w:tabs>
          <w:tab w:val="num" w:pos="13894"/>
        </w:tabs>
        <w:ind w:left="13894" w:hanging="360"/>
      </w:pPr>
      <w:rPr>
        <w:rFonts w:ascii="Wingdings" w:hAnsi="Wingdings" w:hint="default"/>
        <w:sz w:val="20"/>
      </w:rPr>
    </w:lvl>
    <w:lvl w:ilvl="7" w:tentative="1">
      <w:start w:val="1"/>
      <w:numFmt w:val="bullet"/>
      <w:lvlText w:val=""/>
      <w:lvlJc w:val="left"/>
      <w:pPr>
        <w:tabs>
          <w:tab w:val="num" w:pos="14614"/>
        </w:tabs>
        <w:ind w:left="14614" w:hanging="360"/>
      </w:pPr>
      <w:rPr>
        <w:rFonts w:ascii="Wingdings" w:hAnsi="Wingdings" w:hint="default"/>
        <w:sz w:val="20"/>
      </w:rPr>
    </w:lvl>
    <w:lvl w:ilvl="8" w:tentative="1">
      <w:start w:val="1"/>
      <w:numFmt w:val="bullet"/>
      <w:lvlText w:val=""/>
      <w:lvlJc w:val="left"/>
      <w:pPr>
        <w:tabs>
          <w:tab w:val="num" w:pos="15334"/>
        </w:tabs>
        <w:ind w:left="15334" w:hanging="360"/>
      </w:pPr>
      <w:rPr>
        <w:rFonts w:ascii="Wingdings" w:hAnsi="Wingdings" w:hint="default"/>
        <w:sz w:val="20"/>
      </w:rPr>
    </w:lvl>
  </w:abstractNum>
  <w:abstractNum w:abstractNumId="1" w15:restartNumberingAfterBreak="0">
    <w:nsid w:val="04AA1EEC"/>
    <w:multiLevelType w:val="hybridMultilevel"/>
    <w:tmpl w:val="14240720"/>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 w15:restartNumberingAfterBreak="0">
    <w:nsid w:val="0680056D"/>
    <w:multiLevelType w:val="multilevel"/>
    <w:tmpl w:val="AD0416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6662DB"/>
    <w:multiLevelType w:val="hybridMultilevel"/>
    <w:tmpl w:val="984076EC"/>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4" w15:restartNumberingAfterBreak="0">
    <w:nsid w:val="097B728A"/>
    <w:multiLevelType w:val="multilevel"/>
    <w:tmpl w:val="990AA1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AC0101F"/>
    <w:multiLevelType w:val="multilevel"/>
    <w:tmpl w:val="44F829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BDA57D1"/>
    <w:multiLevelType w:val="multilevel"/>
    <w:tmpl w:val="58ECD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0891193"/>
    <w:multiLevelType w:val="multilevel"/>
    <w:tmpl w:val="B0D08C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092604B"/>
    <w:multiLevelType w:val="hybridMultilevel"/>
    <w:tmpl w:val="E4866DF6"/>
    <w:lvl w:ilvl="0" w:tplc="34090017">
      <w:start w:val="1"/>
      <w:numFmt w:val="low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9" w15:restartNumberingAfterBreak="0">
    <w:nsid w:val="10B652EC"/>
    <w:multiLevelType w:val="hybridMultilevel"/>
    <w:tmpl w:val="FF24BEDE"/>
    <w:lvl w:ilvl="0" w:tplc="34090017">
      <w:start w:val="1"/>
      <w:numFmt w:val="low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0" w15:restartNumberingAfterBreak="0">
    <w:nsid w:val="10EF4A16"/>
    <w:multiLevelType w:val="multilevel"/>
    <w:tmpl w:val="F71A3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38516A5"/>
    <w:multiLevelType w:val="multilevel"/>
    <w:tmpl w:val="B58EB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3D15AFE"/>
    <w:multiLevelType w:val="multilevel"/>
    <w:tmpl w:val="057C9F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4DD1F7D"/>
    <w:multiLevelType w:val="multilevel"/>
    <w:tmpl w:val="4E94FC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60E561E"/>
    <w:multiLevelType w:val="multilevel"/>
    <w:tmpl w:val="FB2418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61C6DDF"/>
    <w:multiLevelType w:val="multilevel"/>
    <w:tmpl w:val="80220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7415A01"/>
    <w:multiLevelType w:val="multilevel"/>
    <w:tmpl w:val="4086A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8B92EDF"/>
    <w:multiLevelType w:val="multilevel"/>
    <w:tmpl w:val="B52ABBA2"/>
    <w:lvl w:ilvl="0">
      <w:start w:val="1"/>
      <w:numFmt w:val="bullet"/>
      <w:lvlText w:val="o"/>
      <w:lvlJc w:val="left"/>
      <w:pPr>
        <w:tabs>
          <w:tab w:val="num" w:pos="644"/>
        </w:tabs>
        <w:ind w:left="644" w:hanging="360"/>
      </w:pPr>
      <w:rPr>
        <w:rFonts w:ascii="Courier New" w:hAnsi="Courier New" w:cs="Courier New" w:hint="default"/>
        <w:sz w:val="20"/>
      </w:rPr>
    </w:lvl>
    <w:lvl w:ilvl="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18" w15:restartNumberingAfterBreak="0">
    <w:nsid w:val="1E8A3DCD"/>
    <w:multiLevelType w:val="hybridMultilevel"/>
    <w:tmpl w:val="5E36C350"/>
    <w:lvl w:ilvl="0" w:tplc="3409001B">
      <w:start w:val="1"/>
      <w:numFmt w:val="lowerRoman"/>
      <w:lvlText w:val="%1."/>
      <w:lvlJc w:val="righ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9" w15:restartNumberingAfterBreak="0">
    <w:nsid w:val="202F530A"/>
    <w:multiLevelType w:val="multilevel"/>
    <w:tmpl w:val="F06E3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7F17437"/>
    <w:multiLevelType w:val="hybridMultilevel"/>
    <w:tmpl w:val="4984D304"/>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1" w15:restartNumberingAfterBreak="0">
    <w:nsid w:val="29A85EC9"/>
    <w:multiLevelType w:val="multilevel"/>
    <w:tmpl w:val="1D9EBE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C027C22"/>
    <w:multiLevelType w:val="hybridMultilevel"/>
    <w:tmpl w:val="D6D8CB2E"/>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E2D4070"/>
    <w:multiLevelType w:val="multilevel"/>
    <w:tmpl w:val="73D892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F2A23BE"/>
    <w:multiLevelType w:val="multilevel"/>
    <w:tmpl w:val="EFE01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F79770F"/>
    <w:multiLevelType w:val="multilevel"/>
    <w:tmpl w:val="9BA239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08C3376"/>
    <w:multiLevelType w:val="hybridMultilevel"/>
    <w:tmpl w:val="B1B606D6"/>
    <w:lvl w:ilvl="0" w:tplc="B52E331C">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309D3FF6"/>
    <w:multiLevelType w:val="multilevel"/>
    <w:tmpl w:val="F2346C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0C243CE"/>
    <w:multiLevelType w:val="multilevel"/>
    <w:tmpl w:val="DAEAD3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29827EA"/>
    <w:multiLevelType w:val="multilevel"/>
    <w:tmpl w:val="061A5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334D54FA"/>
    <w:multiLevelType w:val="hybridMultilevel"/>
    <w:tmpl w:val="92C88266"/>
    <w:lvl w:ilvl="0" w:tplc="3409001B">
      <w:start w:val="1"/>
      <w:numFmt w:val="lowerRoman"/>
      <w:lvlText w:val="%1."/>
      <w:lvlJc w:val="righ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1" w15:restartNumberingAfterBreak="0">
    <w:nsid w:val="3AAA3973"/>
    <w:multiLevelType w:val="hybridMultilevel"/>
    <w:tmpl w:val="4DA8881E"/>
    <w:lvl w:ilvl="0" w:tplc="3409001B">
      <w:start w:val="1"/>
      <w:numFmt w:val="lowerRoman"/>
      <w:lvlText w:val="%1."/>
      <w:lvlJc w:val="right"/>
      <w:pPr>
        <w:ind w:left="720" w:hanging="360"/>
      </w:pPr>
    </w:lvl>
    <w:lvl w:ilvl="1" w:tplc="34090019">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2" w15:restartNumberingAfterBreak="0">
    <w:nsid w:val="3BE03B72"/>
    <w:multiLevelType w:val="hybridMultilevel"/>
    <w:tmpl w:val="D6D8CB2E"/>
    <w:lvl w:ilvl="0" w:tplc="0409001B">
      <w:start w:val="1"/>
      <w:numFmt w:val="lowerRoman"/>
      <w:lvlText w:val="%1."/>
      <w:lvlJc w:val="righ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3" w15:restartNumberingAfterBreak="0">
    <w:nsid w:val="40472356"/>
    <w:multiLevelType w:val="multilevel"/>
    <w:tmpl w:val="914CA6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374025B"/>
    <w:multiLevelType w:val="multilevel"/>
    <w:tmpl w:val="05A856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5A17608"/>
    <w:multiLevelType w:val="hybridMultilevel"/>
    <w:tmpl w:val="B302E34C"/>
    <w:lvl w:ilvl="0" w:tplc="34090017">
      <w:start w:val="1"/>
      <w:numFmt w:val="low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6" w15:restartNumberingAfterBreak="0">
    <w:nsid w:val="45CC658F"/>
    <w:multiLevelType w:val="multilevel"/>
    <w:tmpl w:val="D8060E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485F1CB1"/>
    <w:multiLevelType w:val="multilevel"/>
    <w:tmpl w:val="BA5AC3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B4F50EC"/>
    <w:multiLevelType w:val="multilevel"/>
    <w:tmpl w:val="50BEE6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4C970934"/>
    <w:multiLevelType w:val="multilevel"/>
    <w:tmpl w:val="7A3E01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4F9965C0"/>
    <w:multiLevelType w:val="multilevel"/>
    <w:tmpl w:val="80C81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02610C9"/>
    <w:multiLevelType w:val="multilevel"/>
    <w:tmpl w:val="E6002324"/>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51502C8F"/>
    <w:multiLevelType w:val="hybridMultilevel"/>
    <w:tmpl w:val="5502A318"/>
    <w:lvl w:ilvl="0" w:tplc="3409001B">
      <w:start w:val="1"/>
      <w:numFmt w:val="lowerRoman"/>
      <w:lvlText w:val="%1."/>
      <w:lvlJc w:val="righ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43" w15:restartNumberingAfterBreak="0">
    <w:nsid w:val="51B00237"/>
    <w:multiLevelType w:val="multilevel"/>
    <w:tmpl w:val="34A27A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41738B4"/>
    <w:multiLevelType w:val="multilevel"/>
    <w:tmpl w:val="06CE8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54382251"/>
    <w:multiLevelType w:val="multilevel"/>
    <w:tmpl w:val="7026CE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544C1CF9"/>
    <w:multiLevelType w:val="multilevel"/>
    <w:tmpl w:val="434E7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55B2431B"/>
    <w:multiLevelType w:val="hybridMultilevel"/>
    <w:tmpl w:val="6D3AB88E"/>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48" w15:restartNumberingAfterBreak="0">
    <w:nsid w:val="57B27E99"/>
    <w:multiLevelType w:val="multilevel"/>
    <w:tmpl w:val="08EEE8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59682E16"/>
    <w:multiLevelType w:val="multilevel"/>
    <w:tmpl w:val="5A1075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AF826C7"/>
    <w:multiLevelType w:val="hybridMultilevel"/>
    <w:tmpl w:val="9738D2F6"/>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51" w15:restartNumberingAfterBreak="0">
    <w:nsid w:val="5B3C4F52"/>
    <w:multiLevelType w:val="multilevel"/>
    <w:tmpl w:val="8AA685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5B825B52"/>
    <w:multiLevelType w:val="multilevel"/>
    <w:tmpl w:val="47F26F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62A647E2"/>
    <w:multiLevelType w:val="multilevel"/>
    <w:tmpl w:val="B69AE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62D55CAC"/>
    <w:multiLevelType w:val="multilevel"/>
    <w:tmpl w:val="D2F6A9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631B55AD"/>
    <w:multiLevelType w:val="multilevel"/>
    <w:tmpl w:val="399211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64597D0B"/>
    <w:multiLevelType w:val="multilevel"/>
    <w:tmpl w:val="9BE2DE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651054D5"/>
    <w:multiLevelType w:val="multilevel"/>
    <w:tmpl w:val="68DAD8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8E90F05"/>
    <w:multiLevelType w:val="multilevel"/>
    <w:tmpl w:val="C27202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6AE07158"/>
    <w:multiLevelType w:val="multilevel"/>
    <w:tmpl w:val="33245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720B4E6C"/>
    <w:multiLevelType w:val="multilevel"/>
    <w:tmpl w:val="978415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729A4413"/>
    <w:multiLevelType w:val="hybridMultilevel"/>
    <w:tmpl w:val="84AC4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47F00D8"/>
    <w:multiLevelType w:val="hybridMultilevel"/>
    <w:tmpl w:val="39B8AA9C"/>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63" w15:restartNumberingAfterBreak="0">
    <w:nsid w:val="75B43969"/>
    <w:multiLevelType w:val="multilevel"/>
    <w:tmpl w:val="637E6B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7605609A"/>
    <w:multiLevelType w:val="multilevel"/>
    <w:tmpl w:val="9FAC0C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769F0417"/>
    <w:multiLevelType w:val="multilevel"/>
    <w:tmpl w:val="41106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76F153AF"/>
    <w:multiLevelType w:val="multilevel"/>
    <w:tmpl w:val="51021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78EB2059"/>
    <w:multiLevelType w:val="multilevel"/>
    <w:tmpl w:val="E7207BD6"/>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7CA17B09"/>
    <w:multiLevelType w:val="multilevel"/>
    <w:tmpl w:val="94620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7CF64B22"/>
    <w:multiLevelType w:val="multilevel"/>
    <w:tmpl w:val="23BC66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7E94445F"/>
    <w:multiLevelType w:val="multilevel"/>
    <w:tmpl w:val="8112F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7EF97630"/>
    <w:multiLevelType w:val="multilevel"/>
    <w:tmpl w:val="AF7A7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7F955BF8"/>
    <w:multiLevelType w:val="multilevel"/>
    <w:tmpl w:val="0C5683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7F9D1097"/>
    <w:multiLevelType w:val="multilevel"/>
    <w:tmpl w:val="2EAE3F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2769563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94667993">
    <w:abstractNumId w:val="61"/>
  </w:num>
  <w:num w:numId="3" w16cid:durableId="2074813254">
    <w:abstractNumId w:val="17"/>
  </w:num>
  <w:num w:numId="4" w16cid:durableId="1502967021">
    <w:abstractNumId w:val="0"/>
  </w:num>
  <w:num w:numId="5" w16cid:durableId="942999798">
    <w:abstractNumId w:val="72"/>
  </w:num>
  <w:num w:numId="6" w16cid:durableId="1575898805">
    <w:abstractNumId w:val="43"/>
  </w:num>
  <w:num w:numId="7" w16cid:durableId="1378318754">
    <w:abstractNumId w:val="49"/>
  </w:num>
  <w:num w:numId="8" w16cid:durableId="580287903">
    <w:abstractNumId w:val="37"/>
  </w:num>
  <w:num w:numId="9" w16cid:durableId="1550872740">
    <w:abstractNumId w:val="57"/>
  </w:num>
  <w:num w:numId="10" w16cid:durableId="1971083369">
    <w:abstractNumId w:val="3"/>
  </w:num>
  <w:num w:numId="11" w16cid:durableId="1221399460">
    <w:abstractNumId w:val="62"/>
  </w:num>
  <w:num w:numId="12" w16cid:durableId="1130344">
    <w:abstractNumId w:val="10"/>
  </w:num>
  <w:num w:numId="13" w16cid:durableId="724571868">
    <w:abstractNumId w:val="1"/>
  </w:num>
  <w:num w:numId="14" w16cid:durableId="273438372">
    <w:abstractNumId w:val="53"/>
    <w:lvlOverride w:ilvl="0">
      <w:lvl w:ilvl="0">
        <w:numFmt w:val="lowerRoman"/>
        <w:lvlText w:val="%1."/>
        <w:lvlJc w:val="right"/>
      </w:lvl>
    </w:lvlOverride>
  </w:num>
  <w:num w:numId="15" w16cid:durableId="1735548128">
    <w:abstractNumId w:val="53"/>
    <w:lvlOverride w:ilvl="0">
      <w:lvl w:ilvl="0">
        <w:numFmt w:val="lowerRoman"/>
        <w:lvlText w:val="%1."/>
        <w:lvlJc w:val="right"/>
      </w:lvl>
    </w:lvlOverride>
  </w:num>
  <w:num w:numId="16" w16cid:durableId="1888104222">
    <w:abstractNumId w:val="53"/>
    <w:lvlOverride w:ilvl="0">
      <w:lvl w:ilvl="0">
        <w:numFmt w:val="lowerRoman"/>
        <w:lvlText w:val="%1."/>
        <w:lvlJc w:val="right"/>
      </w:lvl>
    </w:lvlOverride>
  </w:num>
  <w:num w:numId="17" w16cid:durableId="1586258705">
    <w:abstractNumId w:val="53"/>
    <w:lvlOverride w:ilvl="0">
      <w:lvl w:ilvl="0">
        <w:numFmt w:val="lowerRoman"/>
        <w:lvlText w:val="%1."/>
        <w:lvlJc w:val="right"/>
      </w:lvl>
    </w:lvlOverride>
  </w:num>
  <w:num w:numId="18" w16cid:durableId="1661732417">
    <w:abstractNumId w:val="42"/>
  </w:num>
  <w:num w:numId="19" w16cid:durableId="511378157">
    <w:abstractNumId w:val="12"/>
  </w:num>
  <w:num w:numId="20" w16cid:durableId="121969876">
    <w:abstractNumId w:val="4"/>
  </w:num>
  <w:num w:numId="21" w16cid:durableId="1684628695">
    <w:abstractNumId w:val="56"/>
  </w:num>
  <w:num w:numId="22" w16cid:durableId="1107626459">
    <w:abstractNumId w:val="47"/>
  </w:num>
  <w:num w:numId="23" w16cid:durableId="118770229">
    <w:abstractNumId w:val="73"/>
  </w:num>
  <w:num w:numId="24" w16cid:durableId="177693014">
    <w:abstractNumId w:val="50"/>
  </w:num>
  <w:num w:numId="25" w16cid:durableId="580061562">
    <w:abstractNumId w:val="23"/>
  </w:num>
  <w:num w:numId="26" w16cid:durableId="1366559567">
    <w:abstractNumId w:val="20"/>
  </w:num>
  <w:num w:numId="27" w16cid:durableId="288439127">
    <w:abstractNumId w:val="25"/>
  </w:num>
  <w:num w:numId="28" w16cid:durableId="486632546">
    <w:abstractNumId w:val="13"/>
  </w:num>
  <w:num w:numId="29" w16cid:durableId="331033149">
    <w:abstractNumId w:val="5"/>
  </w:num>
  <w:num w:numId="30" w16cid:durableId="156650898">
    <w:abstractNumId w:val="60"/>
  </w:num>
  <w:num w:numId="31" w16cid:durableId="1188131849">
    <w:abstractNumId w:val="28"/>
  </w:num>
  <w:num w:numId="32" w16cid:durableId="1085417770">
    <w:abstractNumId w:val="44"/>
  </w:num>
  <w:num w:numId="33" w16cid:durableId="1683126352">
    <w:abstractNumId w:val="59"/>
  </w:num>
  <w:num w:numId="34" w16cid:durableId="71051670">
    <w:abstractNumId w:val="11"/>
  </w:num>
  <w:num w:numId="35" w16cid:durableId="385373748">
    <w:abstractNumId w:val="40"/>
  </w:num>
  <w:num w:numId="36" w16cid:durableId="56053006">
    <w:abstractNumId w:val="65"/>
  </w:num>
  <w:num w:numId="37" w16cid:durableId="1519923209">
    <w:abstractNumId w:val="66"/>
  </w:num>
  <w:num w:numId="38" w16cid:durableId="2138062333">
    <w:abstractNumId w:val="39"/>
  </w:num>
  <w:num w:numId="39" w16cid:durableId="407267627">
    <w:abstractNumId w:val="14"/>
  </w:num>
  <w:num w:numId="40" w16cid:durableId="829977268">
    <w:abstractNumId w:val="19"/>
  </w:num>
  <w:num w:numId="41" w16cid:durableId="1835872112">
    <w:abstractNumId w:val="6"/>
  </w:num>
  <w:num w:numId="42" w16cid:durableId="477842735">
    <w:abstractNumId w:val="27"/>
  </w:num>
  <w:num w:numId="43" w16cid:durableId="2017268441">
    <w:abstractNumId w:val="34"/>
  </w:num>
  <w:num w:numId="44" w16cid:durableId="2042123397">
    <w:abstractNumId w:val="38"/>
  </w:num>
  <w:num w:numId="45" w16cid:durableId="1408189321">
    <w:abstractNumId w:val="21"/>
  </w:num>
  <w:num w:numId="46" w16cid:durableId="742795116">
    <w:abstractNumId w:val="69"/>
  </w:num>
  <w:num w:numId="47" w16cid:durableId="1805199098">
    <w:abstractNumId w:val="54"/>
  </w:num>
  <w:num w:numId="48" w16cid:durableId="1170560367">
    <w:abstractNumId w:val="63"/>
  </w:num>
  <w:num w:numId="49" w16cid:durableId="1649163571">
    <w:abstractNumId w:val="36"/>
  </w:num>
  <w:num w:numId="50" w16cid:durableId="1289624069">
    <w:abstractNumId w:val="2"/>
  </w:num>
  <w:num w:numId="51" w16cid:durableId="296692196">
    <w:abstractNumId w:val="51"/>
  </w:num>
  <w:num w:numId="52" w16cid:durableId="1012873967">
    <w:abstractNumId w:val="33"/>
  </w:num>
  <w:num w:numId="53" w16cid:durableId="3015233">
    <w:abstractNumId w:val="29"/>
  </w:num>
  <w:num w:numId="54" w16cid:durableId="447243488">
    <w:abstractNumId w:val="55"/>
  </w:num>
  <w:num w:numId="55" w16cid:durableId="1405761477">
    <w:abstractNumId w:val="24"/>
  </w:num>
  <w:num w:numId="56" w16cid:durableId="2119173600">
    <w:abstractNumId w:val="16"/>
  </w:num>
  <w:num w:numId="57" w16cid:durableId="149638734">
    <w:abstractNumId w:val="64"/>
    <w:lvlOverride w:ilvl="0">
      <w:lvl w:ilvl="0">
        <w:numFmt w:val="lowerRoman"/>
        <w:lvlText w:val="%1."/>
        <w:lvlJc w:val="right"/>
      </w:lvl>
    </w:lvlOverride>
  </w:num>
  <w:num w:numId="58" w16cid:durableId="1112360491">
    <w:abstractNumId w:val="64"/>
    <w:lvlOverride w:ilvl="0">
      <w:lvl w:ilvl="0">
        <w:numFmt w:val="lowerRoman"/>
        <w:lvlText w:val="%1."/>
        <w:lvlJc w:val="right"/>
      </w:lvl>
    </w:lvlOverride>
  </w:num>
  <w:num w:numId="59" w16cid:durableId="792018799">
    <w:abstractNumId w:val="64"/>
    <w:lvlOverride w:ilvl="0">
      <w:lvl w:ilvl="0">
        <w:numFmt w:val="lowerRoman"/>
        <w:lvlText w:val="%1."/>
        <w:lvlJc w:val="right"/>
      </w:lvl>
    </w:lvlOverride>
  </w:num>
  <w:num w:numId="60" w16cid:durableId="257375012">
    <w:abstractNumId w:val="64"/>
    <w:lvlOverride w:ilvl="0">
      <w:lvl w:ilvl="0">
        <w:numFmt w:val="lowerRoman"/>
        <w:lvlText w:val="%1."/>
        <w:lvlJc w:val="right"/>
      </w:lvl>
    </w:lvlOverride>
  </w:num>
  <w:num w:numId="61" w16cid:durableId="1338727997">
    <w:abstractNumId w:val="70"/>
    <w:lvlOverride w:ilvl="0">
      <w:lvl w:ilvl="0">
        <w:numFmt w:val="lowerRoman"/>
        <w:lvlText w:val="%1."/>
        <w:lvlJc w:val="right"/>
      </w:lvl>
    </w:lvlOverride>
  </w:num>
  <w:num w:numId="62" w16cid:durableId="1764297162">
    <w:abstractNumId w:val="70"/>
    <w:lvlOverride w:ilvl="0">
      <w:lvl w:ilvl="0">
        <w:numFmt w:val="lowerRoman"/>
        <w:lvlText w:val="%1."/>
        <w:lvlJc w:val="right"/>
      </w:lvl>
    </w:lvlOverride>
  </w:num>
  <w:num w:numId="63" w16cid:durableId="458229535">
    <w:abstractNumId w:val="70"/>
    <w:lvlOverride w:ilvl="0">
      <w:lvl w:ilvl="0">
        <w:numFmt w:val="lowerRoman"/>
        <w:lvlText w:val="%1."/>
        <w:lvlJc w:val="right"/>
      </w:lvl>
    </w:lvlOverride>
  </w:num>
  <w:num w:numId="64" w16cid:durableId="680158346">
    <w:abstractNumId w:val="26"/>
  </w:num>
  <w:num w:numId="65" w16cid:durableId="1208378405">
    <w:abstractNumId w:val="32"/>
  </w:num>
  <w:num w:numId="66" w16cid:durableId="1911427373">
    <w:abstractNumId w:val="22"/>
  </w:num>
  <w:num w:numId="67" w16cid:durableId="1210724490">
    <w:abstractNumId w:val="7"/>
    <w:lvlOverride w:ilvl="0">
      <w:lvl w:ilvl="0">
        <w:numFmt w:val="lowerRoman"/>
        <w:lvlText w:val="%1."/>
        <w:lvlJc w:val="right"/>
      </w:lvl>
    </w:lvlOverride>
  </w:num>
  <w:num w:numId="68" w16cid:durableId="904487813">
    <w:abstractNumId w:val="7"/>
    <w:lvlOverride w:ilvl="0">
      <w:lvl w:ilvl="0">
        <w:numFmt w:val="lowerRoman"/>
        <w:lvlText w:val="%1."/>
        <w:lvlJc w:val="right"/>
      </w:lvl>
    </w:lvlOverride>
  </w:num>
  <w:num w:numId="69" w16cid:durableId="1459299140">
    <w:abstractNumId w:val="7"/>
    <w:lvlOverride w:ilvl="0">
      <w:lvl w:ilvl="0">
        <w:numFmt w:val="lowerRoman"/>
        <w:lvlText w:val="%1."/>
        <w:lvlJc w:val="right"/>
      </w:lvl>
    </w:lvlOverride>
  </w:num>
  <w:num w:numId="70" w16cid:durableId="1944070059">
    <w:abstractNumId w:val="7"/>
    <w:lvlOverride w:ilvl="0">
      <w:lvl w:ilvl="0">
        <w:numFmt w:val="lowerRoman"/>
        <w:lvlText w:val="%1."/>
        <w:lvlJc w:val="right"/>
      </w:lvl>
    </w:lvlOverride>
  </w:num>
  <w:num w:numId="71" w16cid:durableId="1763526071">
    <w:abstractNumId w:val="48"/>
    <w:lvlOverride w:ilvl="0">
      <w:lvl w:ilvl="0">
        <w:numFmt w:val="lowerRoman"/>
        <w:lvlText w:val="%1."/>
        <w:lvlJc w:val="right"/>
      </w:lvl>
    </w:lvlOverride>
  </w:num>
  <w:num w:numId="72" w16cid:durableId="800608255">
    <w:abstractNumId w:val="30"/>
  </w:num>
  <w:num w:numId="73" w16cid:durableId="1138492833">
    <w:abstractNumId w:val="18"/>
  </w:num>
  <w:num w:numId="74" w16cid:durableId="626354228">
    <w:abstractNumId w:val="58"/>
  </w:num>
  <w:num w:numId="75" w16cid:durableId="2005086676">
    <w:abstractNumId w:val="35"/>
  </w:num>
  <w:num w:numId="76" w16cid:durableId="1774740799">
    <w:abstractNumId w:val="52"/>
    <w:lvlOverride w:ilvl="0">
      <w:lvl w:ilvl="0">
        <w:numFmt w:val="lowerRoman"/>
        <w:lvlText w:val="%1."/>
        <w:lvlJc w:val="right"/>
      </w:lvl>
    </w:lvlOverride>
  </w:num>
  <w:num w:numId="77" w16cid:durableId="223420510">
    <w:abstractNumId w:val="52"/>
    <w:lvlOverride w:ilvl="0">
      <w:lvl w:ilvl="0">
        <w:numFmt w:val="lowerRoman"/>
        <w:lvlText w:val="%1."/>
        <w:lvlJc w:val="right"/>
      </w:lvl>
    </w:lvlOverride>
  </w:num>
  <w:num w:numId="78" w16cid:durableId="839153515">
    <w:abstractNumId w:val="52"/>
    <w:lvlOverride w:ilvl="0">
      <w:lvl w:ilvl="0">
        <w:numFmt w:val="lowerRoman"/>
        <w:lvlText w:val="%1."/>
        <w:lvlJc w:val="right"/>
      </w:lvl>
    </w:lvlOverride>
  </w:num>
  <w:num w:numId="79" w16cid:durableId="722407399">
    <w:abstractNumId w:val="52"/>
    <w:lvlOverride w:ilvl="0">
      <w:lvl w:ilvl="0">
        <w:numFmt w:val="lowerRoman"/>
        <w:lvlText w:val="%1."/>
        <w:lvlJc w:val="right"/>
      </w:lvl>
    </w:lvlOverride>
  </w:num>
  <w:num w:numId="80" w16cid:durableId="255789691">
    <w:abstractNumId w:val="52"/>
    <w:lvlOverride w:ilvl="0">
      <w:lvl w:ilvl="0">
        <w:numFmt w:val="lowerRoman"/>
        <w:lvlText w:val="%1."/>
        <w:lvlJc w:val="right"/>
      </w:lvl>
    </w:lvlOverride>
  </w:num>
  <w:num w:numId="81" w16cid:durableId="934706887">
    <w:abstractNumId w:val="52"/>
    <w:lvlOverride w:ilvl="0">
      <w:lvl w:ilvl="0">
        <w:numFmt w:val="lowerRoman"/>
        <w:lvlText w:val="%1."/>
        <w:lvlJc w:val="right"/>
      </w:lvl>
    </w:lvlOverride>
  </w:num>
  <w:num w:numId="82" w16cid:durableId="2088069425">
    <w:abstractNumId w:val="31"/>
  </w:num>
  <w:num w:numId="83" w16cid:durableId="2144737918">
    <w:abstractNumId w:val="9"/>
  </w:num>
  <w:num w:numId="84" w16cid:durableId="1510943299">
    <w:abstractNumId w:val="8"/>
  </w:num>
  <w:num w:numId="85" w16cid:durableId="243144755">
    <w:abstractNumId w:val="67"/>
  </w:num>
  <w:num w:numId="86" w16cid:durableId="658535919">
    <w:abstractNumId w:val="45"/>
  </w:num>
  <w:num w:numId="87" w16cid:durableId="627860502">
    <w:abstractNumId w:val="41"/>
  </w:num>
  <w:num w:numId="88" w16cid:durableId="1460219467">
    <w:abstractNumId w:val="68"/>
  </w:num>
  <w:num w:numId="89" w16cid:durableId="1700816488">
    <w:abstractNumId w:val="46"/>
  </w:num>
  <w:num w:numId="90" w16cid:durableId="211575541">
    <w:abstractNumId w:val="71"/>
  </w:num>
  <w:num w:numId="91" w16cid:durableId="113915598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B42"/>
    <w:rsid w:val="00000121"/>
    <w:rsid w:val="00002241"/>
    <w:rsid w:val="000037AF"/>
    <w:rsid w:val="00004159"/>
    <w:rsid w:val="00004353"/>
    <w:rsid w:val="00004DDE"/>
    <w:rsid w:val="00010A36"/>
    <w:rsid w:val="0001139B"/>
    <w:rsid w:val="00011D2F"/>
    <w:rsid w:val="00014692"/>
    <w:rsid w:val="00016D29"/>
    <w:rsid w:val="000205CC"/>
    <w:rsid w:val="000221A7"/>
    <w:rsid w:val="00022921"/>
    <w:rsid w:val="00022F38"/>
    <w:rsid w:val="00023079"/>
    <w:rsid w:val="00023129"/>
    <w:rsid w:val="000243D9"/>
    <w:rsid w:val="000245FF"/>
    <w:rsid w:val="000252D0"/>
    <w:rsid w:val="00025A76"/>
    <w:rsid w:val="00030E34"/>
    <w:rsid w:val="000311B9"/>
    <w:rsid w:val="000318E6"/>
    <w:rsid w:val="0003348A"/>
    <w:rsid w:val="00034A74"/>
    <w:rsid w:val="00034B85"/>
    <w:rsid w:val="00035967"/>
    <w:rsid w:val="000404A8"/>
    <w:rsid w:val="00041ED0"/>
    <w:rsid w:val="00041F71"/>
    <w:rsid w:val="000450EC"/>
    <w:rsid w:val="00050C83"/>
    <w:rsid w:val="00055654"/>
    <w:rsid w:val="00055719"/>
    <w:rsid w:val="00055C12"/>
    <w:rsid w:val="000608FB"/>
    <w:rsid w:val="00060904"/>
    <w:rsid w:val="00060C8D"/>
    <w:rsid w:val="0006256F"/>
    <w:rsid w:val="00062599"/>
    <w:rsid w:val="00063802"/>
    <w:rsid w:val="0007026A"/>
    <w:rsid w:val="000721F8"/>
    <w:rsid w:val="00072A04"/>
    <w:rsid w:val="00073B16"/>
    <w:rsid w:val="00073F4D"/>
    <w:rsid w:val="00080AA7"/>
    <w:rsid w:val="00082886"/>
    <w:rsid w:val="00082E37"/>
    <w:rsid w:val="00083F90"/>
    <w:rsid w:val="000840D4"/>
    <w:rsid w:val="000872BC"/>
    <w:rsid w:val="000903A8"/>
    <w:rsid w:val="00091FCF"/>
    <w:rsid w:val="0009242D"/>
    <w:rsid w:val="00092D28"/>
    <w:rsid w:val="00093345"/>
    <w:rsid w:val="000976A9"/>
    <w:rsid w:val="00097902"/>
    <w:rsid w:val="000A0784"/>
    <w:rsid w:val="000A089B"/>
    <w:rsid w:val="000A284A"/>
    <w:rsid w:val="000A40AA"/>
    <w:rsid w:val="000A4B8F"/>
    <w:rsid w:val="000A541C"/>
    <w:rsid w:val="000A6ABC"/>
    <w:rsid w:val="000B2FAD"/>
    <w:rsid w:val="000B3A31"/>
    <w:rsid w:val="000B3FB2"/>
    <w:rsid w:val="000B4209"/>
    <w:rsid w:val="000B60E8"/>
    <w:rsid w:val="000B75FA"/>
    <w:rsid w:val="000B7BE4"/>
    <w:rsid w:val="000C309D"/>
    <w:rsid w:val="000C40DC"/>
    <w:rsid w:val="000C478D"/>
    <w:rsid w:val="000D4A49"/>
    <w:rsid w:val="000D561C"/>
    <w:rsid w:val="000E092F"/>
    <w:rsid w:val="000E2273"/>
    <w:rsid w:val="000E494A"/>
    <w:rsid w:val="000E568E"/>
    <w:rsid w:val="000E677F"/>
    <w:rsid w:val="000E7DAA"/>
    <w:rsid w:val="000F2253"/>
    <w:rsid w:val="000F3086"/>
    <w:rsid w:val="000F435A"/>
    <w:rsid w:val="000F45F9"/>
    <w:rsid w:val="000F6230"/>
    <w:rsid w:val="000F7A59"/>
    <w:rsid w:val="00101D42"/>
    <w:rsid w:val="00102041"/>
    <w:rsid w:val="00103C38"/>
    <w:rsid w:val="00104145"/>
    <w:rsid w:val="001127F4"/>
    <w:rsid w:val="0011342C"/>
    <w:rsid w:val="001148B5"/>
    <w:rsid w:val="001160B1"/>
    <w:rsid w:val="00116C8F"/>
    <w:rsid w:val="001170F1"/>
    <w:rsid w:val="00117E40"/>
    <w:rsid w:val="0012457E"/>
    <w:rsid w:val="00124B84"/>
    <w:rsid w:val="00130ECC"/>
    <w:rsid w:val="001322E7"/>
    <w:rsid w:val="00132E57"/>
    <w:rsid w:val="00132F7F"/>
    <w:rsid w:val="00132F89"/>
    <w:rsid w:val="00137CD3"/>
    <w:rsid w:val="00141D4A"/>
    <w:rsid w:val="00142600"/>
    <w:rsid w:val="00143AC9"/>
    <w:rsid w:val="00144233"/>
    <w:rsid w:val="001443C3"/>
    <w:rsid w:val="001457E5"/>
    <w:rsid w:val="00151E19"/>
    <w:rsid w:val="0015318A"/>
    <w:rsid w:val="001537E2"/>
    <w:rsid w:val="00156B48"/>
    <w:rsid w:val="00162CA5"/>
    <w:rsid w:val="00163B8D"/>
    <w:rsid w:val="00164197"/>
    <w:rsid w:val="001648C1"/>
    <w:rsid w:val="00166B91"/>
    <w:rsid w:val="001677A7"/>
    <w:rsid w:val="00174299"/>
    <w:rsid w:val="001754E8"/>
    <w:rsid w:val="0017603A"/>
    <w:rsid w:val="00176578"/>
    <w:rsid w:val="00176FE0"/>
    <w:rsid w:val="001815E2"/>
    <w:rsid w:val="00181D1E"/>
    <w:rsid w:val="00182A62"/>
    <w:rsid w:val="00183CF7"/>
    <w:rsid w:val="001840A3"/>
    <w:rsid w:val="00185A3C"/>
    <w:rsid w:val="001919D6"/>
    <w:rsid w:val="00192502"/>
    <w:rsid w:val="00193F55"/>
    <w:rsid w:val="00195080"/>
    <w:rsid w:val="0019610D"/>
    <w:rsid w:val="00197AC0"/>
    <w:rsid w:val="001A510E"/>
    <w:rsid w:val="001A5268"/>
    <w:rsid w:val="001A5751"/>
    <w:rsid w:val="001A5B86"/>
    <w:rsid w:val="001A6280"/>
    <w:rsid w:val="001A6935"/>
    <w:rsid w:val="001A7174"/>
    <w:rsid w:val="001A7B17"/>
    <w:rsid w:val="001B19A8"/>
    <w:rsid w:val="001B221F"/>
    <w:rsid w:val="001B2B56"/>
    <w:rsid w:val="001B3584"/>
    <w:rsid w:val="001B3BC8"/>
    <w:rsid w:val="001B7EA8"/>
    <w:rsid w:val="001C33E2"/>
    <w:rsid w:val="001C43BA"/>
    <w:rsid w:val="001C79AD"/>
    <w:rsid w:val="001D1F61"/>
    <w:rsid w:val="001D2EED"/>
    <w:rsid w:val="001D3C2C"/>
    <w:rsid w:val="001D69A4"/>
    <w:rsid w:val="001D759C"/>
    <w:rsid w:val="001E0B8C"/>
    <w:rsid w:val="001E40E0"/>
    <w:rsid w:val="001E561C"/>
    <w:rsid w:val="001F05C7"/>
    <w:rsid w:val="001F734C"/>
    <w:rsid w:val="001F7BAD"/>
    <w:rsid w:val="0020028D"/>
    <w:rsid w:val="00201D41"/>
    <w:rsid w:val="00203814"/>
    <w:rsid w:val="00205B49"/>
    <w:rsid w:val="00206AD5"/>
    <w:rsid w:val="00210222"/>
    <w:rsid w:val="00210A6E"/>
    <w:rsid w:val="00212FC9"/>
    <w:rsid w:val="00213254"/>
    <w:rsid w:val="00213925"/>
    <w:rsid w:val="0022163F"/>
    <w:rsid w:val="002217D5"/>
    <w:rsid w:val="00225D41"/>
    <w:rsid w:val="002264E9"/>
    <w:rsid w:val="00226B22"/>
    <w:rsid w:val="00227430"/>
    <w:rsid w:val="00227D03"/>
    <w:rsid w:val="00230938"/>
    <w:rsid w:val="00230CFF"/>
    <w:rsid w:val="0023117C"/>
    <w:rsid w:val="002317DA"/>
    <w:rsid w:val="00231F6E"/>
    <w:rsid w:val="00231FB8"/>
    <w:rsid w:val="00232A1F"/>
    <w:rsid w:val="0023336C"/>
    <w:rsid w:val="0023645A"/>
    <w:rsid w:val="002368BA"/>
    <w:rsid w:val="00236CA3"/>
    <w:rsid w:val="0024243D"/>
    <w:rsid w:val="002453D7"/>
    <w:rsid w:val="002533D5"/>
    <w:rsid w:val="00253A5F"/>
    <w:rsid w:val="00256D56"/>
    <w:rsid w:val="002638D6"/>
    <w:rsid w:val="00270D0A"/>
    <w:rsid w:val="00271608"/>
    <w:rsid w:val="0027430D"/>
    <w:rsid w:val="002773C7"/>
    <w:rsid w:val="0028154B"/>
    <w:rsid w:val="00282B8B"/>
    <w:rsid w:val="0028622F"/>
    <w:rsid w:val="002867DE"/>
    <w:rsid w:val="00290435"/>
    <w:rsid w:val="002914A1"/>
    <w:rsid w:val="00291FFC"/>
    <w:rsid w:val="0029357B"/>
    <w:rsid w:val="0029414A"/>
    <w:rsid w:val="00295227"/>
    <w:rsid w:val="00296AD5"/>
    <w:rsid w:val="00296E37"/>
    <w:rsid w:val="002A2D50"/>
    <w:rsid w:val="002A32F6"/>
    <w:rsid w:val="002B2067"/>
    <w:rsid w:val="002B217F"/>
    <w:rsid w:val="002B311B"/>
    <w:rsid w:val="002B31C2"/>
    <w:rsid w:val="002B40A4"/>
    <w:rsid w:val="002B500D"/>
    <w:rsid w:val="002B53E6"/>
    <w:rsid w:val="002B7185"/>
    <w:rsid w:val="002B7807"/>
    <w:rsid w:val="002B785F"/>
    <w:rsid w:val="002B7E71"/>
    <w:rsid w:val="002C0FEA"/>
    <w:rsid w:val="002C1EEE"/>
    <w:rsid w:val="002C405A"/>
    <w:rsid w:val="002C4225"/>
    <w:rsid w:val="002C663C"/>
    <w:rsid w:val="002D0A6A"/>
    <w:rsid w:val="002D1B99"/>
    <w:rsid w:val="002D2765"/>
    <w:rsid w:val="002D2AC7"/>
    <w:rsid w:val="002D2DF9"/>
    <w:rsid w:val="002D333A"/>
    <w:rsid w:val="002D5B01"/>
    <w:rsid w:val="002E1A3C"/>
    <w:rsid w:val="002E7A20"/>
    <w:rsid w:val="002F07B3"/>
    <w:rsid w:val="002F341C"/>
    <w:rsid w:val="003011AF"/>
    <w:rsid w:val="00302E27"/>
    <w:rsid w:val="00306D8B"/>
    <w:rsid w:val="0030750F"/>
    <w:rsid w:val="003075EE"/>
    <w:rsid w:val="00310191"/>
    <w:rsid w:val="00311298"/>
    <w:rsid w:val="003117E7"/>
    <w:rsid w:val="0031285F"/>
    <w:rsid w:val="003147D3"/>
    <w:rsid w:val="00315B15"/>
    <w:rsid w:val="00315BDB"/>
    <w:rsid w:val="00320589"/>
    <w:rsid w:val="00320830"/>
    <w:rsid w:val="00323616"/>
    <w:rsid w:val="0032574F"/>
    <w:rsid w:val="00325B5E"/>
    <w:rsid w:val="00326577"/>
    <w:rsid w:val="00326775"/>
    <w:rsid w:val="00330B43"/>
    <w:rsid w:val="00334A4B"/>
    <w:rsid w:val="00334C0E"/>
    <w:rsid w:val="00335AAA"/>
    <w:rsid w:val="00341CE8"/>
    <w:rsid w:val="00345C17"/>
    <w:rsid w:val="00345CE5"/>
    <w:rsid w:val="0034749E"/>
    <w:rsid w:val="00350648"/>
    <w:rsid w:val="00351DD0"/>
    <w:rsid w:val="00352D36"/>
    <w:rsid w:val="00353DF2"/>
    <w:rsid w:val="003544A2"/>
    <w:rsid w:val="003559DC"/>
    <w:rsid w:val="00356410"/>
    <w:rsid w:val="00360DAA"/>
    <w:rsid w:val="00361261"/>
    <w:rsid w:val="00361C38"/>
    <w:rsid w:val="003674F4"/>
    <w:rsid w:val="00367EF8"/>
    <w:rsid w:val="00367FBF"/>
    <w:rsid w:val="0037029A"/>
    <w:rsid w:val="0037118C"/>
    <w:rsid w:val="00371761"/>
    <w:rsid w:val="003722E2"/>
    <w:rsid w:val="00372AAA"/>
    <w:rsid w:val="00372AF8"/>
    <w:rsid w:val="00373A7A"/>
    <w:rsid w:val="00374E68"/>
    <w:rsid w:val="00375C3C"/>
    <w:rsid w:val="00376E45"/>
    <w:rsid w:val="00382C5D"/>
    <w:rsid w:val="00382F0D"/>
    <w:rsid w:val="0038619E"/>
    <w:rsid w:val="0038748F"/>
    <w:rsid w:val="00395C76"/>
    <w:rsid w:val="003975E2"/>
    <w:rsid w:val="003A3351"/>
    <w:rsid w:val="003A6BC6"/>
    <w:rsid w:val="003B05D8"/>
    <w:rsid w:val="003B1868"/>
    <w:rsid w:val="003B361E"/>
    <w:rsid w:val="003B37EB"/>
    <w:rsid w:val="003B403A"/>
    <w:rsid w:val="003C073B"/>
    <w:rsid w:val="003C2113"/>
    <w:rsid w:val="003C28EF"/>
    <w:rsid w:val="003C657E"/>
    <w:rsid w:val="003C69BB"/>
    <w:rsid w:val="003C72FA"/>
    <w:rsid w:val="003C752D"/>
    <w:rsid w:val="003D1B86"/>
    <w:rsid w:val="003D4509"/>
    <w:rsid w:val="003D49C2"/>
    <w:rsid w:val="003D4A38"/>
    <w:rsid w:val="003D6978"/>
    <w:rsid w:val="003D7262"/>
    <w:rsid w:val="003E0C0A"/>
    <w:rsid w:val="003E143E"/>
    <w:rsid w:val="003E171D"/>
    <w:rsid w:val="003E3904"/>
    <w:rsid w:val="003E435C"/>
    <w:rsid w:val="003E4E5F"/>
    <w:rsid w:val="003E506E"/>
    <w:rsid w:val="003E5B64"/>
    <w:rsid w:val="003E5FAD"/>
    <w:rsid w:val="003E6057"/>
    <w:rsid w:val="003F0BC2"/>
    <w:rsid w:val="003F1315"/>
    <w:rsid w:val="003F1DD6"/>
    <w:rsid w:val="003F35A0"/>
    <w:rsid w:val="003F406B"/>
    <w:rsid w:val="003F6804"/>
    <w:rsid w:val="003F7838"/>
    <w:rsid w:val="00400A92"/>
    <w:rsid w:val="004012DD"/>
    <w:rsid w:val="00407E79"/>
    <w:rsid w:val="00410EAB"/>
    <w:rsid w:val="00411C90"/>
    <w:rsid w:val="004122E6"/>
    <w:rsid w:val="0041236D"/>
    <w:rsid w:val="00414610"/>
    <w:rsid w:val="00415A64"/>
    <w:rsid w:val="00416748"/>
    <w:rsid w:val="00416765"/>
    <w:rsid w:val="00416834"/>
    <w:rsid w:val="0041734A"/>
    <w:rsid w:val="0041769C"/>
    <w:rsid w:val="00417D62"/>
    <w:rsid w:val="00417EA6"/>
    <w:rsid w:val="0042062D"/>
    <w:rsid w:val="0042063D"/>
    <w:rsid w:val="00422A66"/>
    <w:rsid w:val="00422D91"/>
    <w:rsid w:val="004246D7"/>
    <w:rsid w:val="00426E64"/>
    <w:rsid w:val="00431670"/>
    <w:rsid w:val="0043401D"/>
    <w:rsid w:val="00440235"/>
    <w:rsid w:val="004405A2"/>
    <w:rsid w:val="004423ED"/>
    <w:rsid w:val="004438A0"/>
    <w:rsid w:val="00443A1E"/>
    <w:rsid w:val="00443DE5"/>
    <w:rsid w:val="00444DFC"/>
    <w:rsid w:val="004504E2"/>
    <w:rsid w:val="00454BBF"/>
    <w:rsid w:val="004572B8"/>
    <w:rsid w:val="0046039B"/>
    <w:rsid w:val="0046163B"/>
    <w:rsid w:val="00462F3E"/>
    <w:rsid w:val="00464006"/>
    <w:rsid w:val="00465552"/>
    <w:rsid w:val="0046627E"/>
    <w:rsid w:val="00470871"/>
    <w:rsid w:val="00470D54"/>
    <w:rsid w:val="00471EF8"/>
    <w:rsid w:val="0047212F"/>
    <w:rsid w:val="00472670"/>
    <w:rsid w:val="0047346A"/>
    <w:rsid w:val="0047375F"/>
    <w:rsid w:val="00475905"/>
    <w:rsid w:val="0048023C"/>
    <w:rsid w:val="00481ECD"/>
    <w:rsid w:val="00482924"/>
    <w:rsid w:val="00483DC8"/>
    <w:rsid w:val="0048479C"/>
    <w:rsid w:val="0048480D"/>
    <w:rsid w:val="004924EF"/>
    <w:rsid w:val="004946F9"/>
    <w:rsid w:val="00495BED"/>
    <w:rsid w:val="00496C17"/>
    <w:rsid w:val="00497863"/>
    <w:rsid w:val="004A0485"/>
    <w:rsid w:val="004A053C"/>
    <w:rsid w:val="004A09E5"/>
    <w:rsid w:val="004A3F4B"/>
    <w:rsid w:val="004A6791"/>
    <w:rsid w:val="004B0F4E"/>
    <w:rsid w:val="004B138A"/>
    <w:rsid w:val="004B314B"/>
    <w:rsid w:val="004B3DBB"/>
    <w:rsid w:val="004B47A5"/>
    <w:rsid w:val="004B5FED"/>
    <w:rsid w:val="004B6C70"/>
    <w:rsid w:val="004C1292"/>
    <w:rsid w:val="004C4B5A"/>
    <w:rsid w:val="004C776C"/>
    <w:rsid w:val="004C7F1B"/>
    <w:rsid w:val="004D07A5"/>
    <w:rsid w:val="004D07BA"/>
    <w:rsid w:val="004D1A51"/>
    <w:rsid w:val="004D4E1B"/>
    <w:rsid w:val="004D779B"/>
    <w:rsid w:val="004E2234"/>
    <w:rsid w:val="004E2290"/>
    <w:rsid w:val="004E3EB7"/>
    <w:rsid w:val="004E5C99"/>
    <w:rsid w:val="004E74DA"/>
    <w:rsid w:val="004E7B8C"/>
    <w:rsid w:val="004F2F6A"/>
    <w:rsid w:val="004F56B3"/>
    <w:rsid w:val="004F607E"/>
    <w:rsid w:val="00500E0C"/>
    <w:rsid w:val="00501064"/>
    <w:rsid w:val="00501590"/>
    <w:rsid w:val="00503444"/>
    <w:rsid w:val="00510408"/>
    <w:rsid w:val="00515249"/>
    <w:rsid w:val="00515888"/>
    <w:rsid w:val="0051660B"/>
    <w:rsid w:val="00517014"/>
    <w:rsid w:val="005219C4"/>
    <w:rsid w:val="00523D35"/>
    <w:rsid w:val="00533B25"/>
    <w:rsid w:val="00533C38"/>
    <w:rsid w:val="0053467A"/>
    <w:rsid w:val="00534B22"/>
    <w:rsid w:val="00534D91"/>
    <w:rsid w:val="005357B2"/>
    <w:rsid w:val="00536138"/>
    <w:rsid w:val="0053654D"/>
    <w:rsid w:val="00536632"/>
    <w:rsid w:val="00542AB8"/>
    <w:rsid w:val="00542AC9"/>
    <w:rsid w:val="00544182"/>
    <w:rsid w:val="00545BDD"/>
    <w:rsid w:val="00550422"/>
    <w:rsid w:val="00552306"/>
    <w:rsid w:val="00552AAE"/>
    <w:rsid w:val="00553970"/>
    <w:rsid w:val="00554665"/>
    <w:rsid w:val="005610CE"/>
    <w:rsid w:val="0056115B"/>
    <w:rsid w:val="00561FF0"/>
    <w:rsid w:val="00563E48"/>
    <w:rsid w:val="00566697"/>
    <w:rsid w:val="00566E89"/>
    <w:rsid w:val="00567CFD"/>
    <w:rsid w:val="00570EF9"/>
    <w:rsid w:val="00571B18"/>
    <w:rsid w:val="00574108"/>
    <w:rsid w:val="005767A3"/>
    <w:rsid w:val="00577B18"/>
    <w:rsid w:val="005812C1"/>
    <w:rsid w:val="0058673C"/>
    <w:rsid w:val="00586B3B"/>
    <w:rsid w:val="00590C3B"/>
    <w:rsid w:val="00594565"/>
    <w:rsid w:val="00594FDB"/>
    <w:rsid w:val="00596531"/>
    <w:rsid w:val="00596683"/>
    <w:rsid w:val="00597605"/>
    <w:rsid w:val="00597D23"/>
    <w:rsid w:val="005A1AFE"/>
    <w:rsid w:val="005A20B6"/>
    <w:rsid w:val="005A2560"/>
    <w:rsid w:val="005A526C"/>
    <w:rsid w:val="005B01E8"/>
    <w:rsid w:val="005B0584"/>
    <w:rsid w:val="005B20C5"/>
    <w:rsid w:val="005B4E83"/>
    <w:rsid w:val="005C0830"/>
    <w:rsid w:val="005C305E"/>
    <w:rsid w:val="005C4CAB"/>
    <w:rsid w:val="005C6088"/>
    <w:rsid w:val="005C68ED"/>
    <w:rsid w:val="005C7B51"/>
    <w:rsid w:val="005C7CD4"/>
    <w:rsid w:val="005D3A14"/>
    <w:rsid w:val="005D5895"/>
    <w:rsid w:val="005E09D5"/>
    <w:rsid w:val="005E0B58"/>
    <w:rsid w:val="005E0DFB"/>
    <w:rsid w:val="005E12BF"/>
    <w:rsid w:val="005E1CF2"/>
    <w:rsid w:val="005E2BD5"/>
    <w:rsid w:val="005E6899"/>
    <w:rsid w:val="005E6D3E"/>
    <w:rsid w:val="005E6F64"/>
    <w:rsid w:val="005E7C51"/>
    <w:rsid w:val="005E7EA3"/>
    <w:rsid w:val="005E7EB8"/>
    <w:rsid w:val="005F2548"/>
    <w:rsid w:val="005F59F2"/>
    <w:rsid w:val="005F5B72"/>
    <w:rsid w:val="005F7B80"/>
    <w:rsid w:val="005F7BA8"/>
    <w:rsid w:val="0060051A"/>
    <w:rsid w:val="00602D10"/>
    <w:rsid w:val="0060489D"/>
    <w:rsid w:val="006138EE"/>
    <w:rsid w:val="0061395A"/>
    <w:rsid w:val="00614F5E"/>
    <w:rsid w:val="00615365"/>
    <w:rsid w:val="00615AAB"/>
    <w:rsid w:val="00617649"/>
    <w:rsid w:val="00617A0B"/>
    <w:rsid w:val="00617E88"/>
    <w:rsid w:val="00620742"/>
    <w:rsid w:val="00622603"/>
    <w:rsid w:val="0062328A"/>
    <w:rsid w:val="00624084"/>
    <w:rsid w:val="006251E2"/>
    <w:rsid w:val="00626712"/>
    <w:rsid w:val="006268BF"/>
    <w:rsid w:val="00626BF5"/>
    <w:rsid w:val="00631E57"/>
    <w:rsid w:val="006330E5"/>
    <w:rsid w:val="006335B8"/>
    <w:rsid w:val="006356FA"/>
    <w:rsid w:val="00643EFA"/>
    <w:rsid w:val="006449FF"/>
    <w:rsid w:val="00651062"/>
    <w:rsid w:val="00654900"/>
    <w:rsid w:val="00654FDF"/>
    <w:rsid w:val="006558BA"/>
    <w:rsid w:val="00661EE8"/>
    <w:rsid w:val="006626DD"/>
    <w:rsid w:val="00663C92"/>
    <w:rsid w:val="006651F8"/>
    <w:rsid w:val="00665A32"/>
    <w:rsid w:val="00665B23"/>
    <w:rsid w:val="00665E8D"/>
    <w:rsid w:val="00667A59"/>
    <w:rsid w:val="00671565"/>
    <w:rsid w:val="00671AC9"/>
    <w:rsid w:val="00672951"/>
    <w:rsid w:val="00674EFD"/>
    <w:rsid w:val="006751D0"/>
    <w:rsid w:val="0067664F"/>
    <w:rsid w:val="00677DDF"/>
    <w:rsid w:val="0068083B"/>
    <w:rsid w:val="00680D15"/>
    <w:rsid w:val="0068511F"/>
    <w:rsid w:val="00685D1A"/>
    <w:rsid w:val="006874F7"/>
    <w:rsid w:val="0069020B"/>
    <w:rsid w:val="0069188A"/>
    <w:rsid w:val="00692759"/>
    <w:rsid w:val="00692F85"/>
    <w:rsid w:val="00694B81"/>
    <w:rsid w:val="0069525B"/>
    <w:rsid w:val="00696B41"/>
    <w:rsid w:val="00697895"/>
    <w:rsid w:val="00697EAE"/>
    <w:rsid w:val="006A3EB2"/>
    <w:rsid w:val="006A45BA"/>
    <w:rsid w:val="006A7BB6"/>
    <w:rsid w:val="006B10B2"/>
    <w:rsid w:val="006B14E6"/>
    <w:rsid w:val="006B502D"/>
    <w:rsid w:val="006B565C"/>
    <w:rsid w:val="006B5A8C"/>
    <w:rsid w:val="006C0CAD"/>
    <w:rsid w:val="006D01BA"/>
    <w:rsid w:val="006D21CE"/>
    <w:rsid w:val="006D3933"/>
    <w:rsid w:val="006D3BF8"/>
    <w:rsid w:val="006D3E34"/>
    <w:rsid w:val="006D45D7"/>
    <w:rsid w:val="006D4C8B"/>
    <w:rsid w:val="006D5B2D"/>
    <w:rsid w:val="006D5EE2"/>
    <w:rsid w:val="006E3069"/>
    <w:rsid w:val="006F0CFA"/>
    <w:rsid w:val="006F1F09"/>
    <w:rsid w:val="006F32D4"/>
    <w:rsid w:val="006F63DF"/>
    <w:rsid w:val="006F651E"/>
    <w:rsid w:val="006F764A"/>
    <w:rsid w:val="006F77AF"/>
    <w:rsid w:val="006F7B8A"/>
    <w:rsid w:val="00701449"/>
    <w:rsid w:val="00702E8C"/>
    <w:rsid w:val="007037B2"/>
    <w:rsid w:val="00704CA9"/>
    <w:rsid w:val="00704E39"/>
    <w:rsid w:val="00704ED6"/>
    <w:rsid w:val="007068A3"/>
    <w:rsid w:val="00707E10"/>
    <w:rsid w:val="00710CC1"/>
    <w:rsid w:val="00711EC0"/>
    <w:rsid w:val="00713629"/>
    <w:rsid w:val="007157D9"/>
    <w:rsid w:val="00716611"/>
    <w:rsid w:val="00721CD5"/>
    <w:rsid w:val="00723348"/>
    <w:rsid w:val="00723F71"/>
    <w:rsid w:val="00725E79"/>
    <w:rsid w:val="00726434"/>
    <w:rsid w:val="00730BF8"/>
    <w:rsid w:val="00730C89"/>
    <w:rsid w:val="00730FD1"/>
    <w:rsid w:val="00731526"/>
    <w:rsid w:val="00732246"/>
    <w:rsid w:val="00733D25"/>
    <w:rsid w:val="00734CB4"/>
    <w:rsid w:val="00737AD6"/>
    <w:rsid w:val="0074143E"/>
    <w:rsid w:val="00742C26"/>
    <w:rsid w:val="007458E4"/>
    <w:rsid w:val="007506FC"/>
    <w:rsid w:val="00751385"/>
    <w:rsid w:val="00753C81"/>
    <w:rsid w:val="0075426B"/>
    <w:rsid w:val="00755552"/>
    <w:rsid w:val="00757D77"/>
    <w:rsid w:val="00762267"/>
    <w:rsid w:val="007623D6"/>
    <w:rsid w:val="00762B35"/>
    <w:rsid w:val="00762C57"/>
    <w:rsid w:val="007641F6"/>
    <w:rsid w:val="007645BD"/>
    <w:rsid w:val="00764A70"/>
    <w:rsid w:val="0076729A"/>
    <w:rsid w:val="00767321"/>
    <w:rsid w:val="00767DDF"/>
    <w:rsid w:val="007712F5"/>
    <w:rsid w:val="00771BAF"/>
    <w:rsid w:val="0077224D"/>
    <w:rsid w:val="00774A9B"/>
    <w:rsid w:val="00776AB0"/>
    <w:rsid w:val="0077785B"/>
    <w:rsid w:val="00782197"/>
    <w:rsid w:val="00785202"/>
    <w:rsid w:val="00785CF1"/>
    <w:rsid w:val="0078767B"/>
    <w:rsid w:val="00791F6E"/>
    <w:rsid w:val="00792443"/>
    <w:rsid w:val="00793259"/>
    <w:rsid w:val="0079385F"/>
    <w:rsid w:val="00795BA9"/>
    <w:rsid w:val="007A1414"/>
    <w:rsid w:val="007A1AF8"/>
    <w:rsid w:val="007A1D4C"/>
    <w:rsid w:val="007A2031"/>
    <w:rsid w:val="007A28B8"/>
    <w:rsid w:val="007A3693"/>
    <w:rsid w:val="007A36FF"/>
    <w:rsid w:val="007A4932"/>
    <w:rsid w:val="007A559A"/>
    <w:rsid w:val="007A72CC"/>
    <w:rsid w:val="007B1082"/>
    <w:rsid w:val="007B3CC5"/>
    <w:rsid w:val="007C056A"/>
    <w:rsid w:val="007C2063"/>
    <w:rsid w:val="007C2569"/>
    <w:rsid w:val="007C546D"/>
    <w:rsid w:val="007C68ED"/>
    <w:rsid w:val="007C7190"/>
    <w:rsid w:val="007C7D68"/>
    <w:rsid w:val="007D0BCA"/>
    <w:rsid w:val="007D4484"/>
    <w:rsid w:val="007D687E"/>
    <w:rsid w:val="007E026A"/>
    <w:rsid w:val="007E118D"/>
    <w:rsid w:val="007E18E2"/>
    <w:rsid w:val="007F0E26"/>
    <w:rsid w:val="007F1113"/>
    <w:rsid w:val="007F3BEB"/>
    <w:rsid w:val="007F4DCB"/>
    <w:rsid w:val="007F6F70"/>
    <w:rsid w:val="007F7109"/>
    <w:rsid w:val="00802888"/>
    <w:rsid w:val="00803F80"/>
    <w:rsid w:val="008044B5"/>
    <w:rsid w:val="00804B50"/>
    <w:rsid w:val="008104A5"/>
    <w:rsid w:val="008117D0"/>
    <w:rsid w:val="00812025"/>
    <w:rsid w:val="00812AEA"/>
    <w:rsid w:val="00814543"/>
    <w:rsid w:val="008166FA"/>
    <w:rsid w:val="0081690F"/>
    <w:rsid w:val="00816BC7"/>
    <w:rsid w:val="008202A4"/>
    <w:rsid w:val="00820436"/>
    <w:rsid w:val="00821C1E"/>
    <w:rsid w:val="00823F0C"/>
    <w:rsid w:val="0082435B"/>
    <w:rsid w:val="00824F42"/>
    <w:rsid w:val="00825269"/>
    <w:rsid w:val="00825776"/>
    <w:rsid w:val="008302DB"/>
    <w:rsid w:val="0083082E"/>
    <w:rsid w:val="008353B3"/>
    <w:rsid w:val="008377F5"/>
    <w:rsid w:val="00837FEE"/>
    <w:rsid w:val="00840613"/>
    <w:rsid w:val="00840D90"/>
    <w:rsid w:val="00842845"/>
    <w:rsid w:val="00851ECD"/>
    <w:rsid w:val="008522F9"/>
    <w:rsid w:val="0085297C"/>
    <w:rsid w:val="00853E22"/>
    <w:rsid w:val="008542B4"/>
    <w:rsid w:val="00854D68"/>
    <w:rsid w:val="00855526"/>
    <w:rsid w:val="008577C6"/>
    <w:rsid w:val="00861FB0"/>
    <w:rsid w:val="0086386C"/>
    <w:rsid w:val="00864C74"/>
    <w:rsid w:val="00865DC0"/>
    <w:rsid w:val="008677CD"/>
    <w:rsid w:val="0087285A"/>
    <w:rsid w:val="0087762B"/>
    <w:rsid w:val="00881587"/>
    <w:rsid w:val="0088382A"/>
    <w:rsid w:val="008854E2"/>
    <w:rsid w:val="00886C42"/>
    <w:rsid w:val="00887381"/>
    <w:rsid w:val="0089006C"/>
    <w:rsid w:val="00890312"/>
    <w:rsid w:val="00891AEE"/>
    <w:rsid w:val="0089240F"/>
    <w:rsid w:val="00892DCD"/>
    <w:rsid w:val="0089527A"/>
    <w:rsid w:val="00895346"/>
    <w:rsid w:val="00896E65"/>
    <w:rsid w:val="00897C14"/>
    <w:rsid w:val="008A0C9B"/>
    <w:rsid w:val="008A0E6B"/>
    <w:rsid w:val="008A107D"/>
    <w:rsid w:val="008A21FB"/>
    <w:rsid w:val="008A24AD"/>
    <w:rsid w:val="008A3161"/>
    <w:rsid w:val="008A4DCA"/>
    <w:rsid w:val="008A51FC"/>
    <w:rsid w:val="008A5844"/>
    <w:rsid w:val="008A6445"/>
    <w:rsid w:val="008B031D"/>
    <w:rsid w:val="008B0538"/>
    <w:rsid w:val="008B062E"/>
    <w:rsid w:val="008B31A1"/>
    <w:rsid w:val="008B4028"/>
    <w:rsid w:val="008B5C74"/>
    <w:rsid w:val="008B716C"/>
    <w:rsid w:val="008B75CB"/>
    <w:rsid w:val="008C147A"/>
    <w:rsid w:val="008C27E1"/>
    <w:rsid w:val="008C29D5"/>
    <w:rsid w:val="008C3BDB"/>
    <w:rsid w:val="008C5693"/>
    <w:rsid w:val="008D2063"/>
    <w:rsid w:val="008D4427"/>
    <w:rsid w:val="008D4BF8"/>
    <w:rsid w:val="008D52E5"/>
    <w:rsid w:val="008D58A0"/>
    <w:rsid w:val="008D6EA2"/>
    <w:rsid w:val="008E2DDA"/>
    <w:rsid w:val="008E6AD5"/>
    <w:rsid w:val="008F0BAA"/>
    <w:rsid w:val="008F1A96"/>
    <w:rsid w:val="008F404E"/>
    <w:rsid w:val="009000B2"/>
    <w:rsid w:val="00903DD0"/>
    <w:rsid w:val="009043EB"/>
    <w:rsid w:val="0090658C"/>
    <w:rsid w:val="009101EB"/>
    <w:rsid w:val="00910448"/>
    <w:rsid w:val="009121AD"/>
    <w:rsid w:val="00913473"/>
    <w:rsid w:val="00913B7B"/>
    <w:rsid w:val="009141F3"/>
    <w:rsid w:val="00914661"/>
    <w:rsid w:val="00915A81"/>
    <w:rsid w:val="009169BF"/>
    <w:rsid w:val="00921C2C"/>
    <w:rsid w:val="0092377C"/>
    <w:rsid w:val="00927547"/>
    <w:rsid w:val="00930F92"/>
    <w:rsid w:val="0093244D"/>
    <w:rsid w:val="00933004"/>
    <w:rsid w:val="009342F2"/>
    <w:rsid w:val="00934D1D"/>
    <w:rsid w:val="00935685"/>
    <w:rsid w:val="00941576"/>
    <w:rsid w:val="0094350E"/>
    <w:rsid w:val="00950696"/>
    <w:rsid w:val="00953A11"/>
    <w:rsid w:val="00956A68"/>
    <w:rsid w:val="00957560"/>
    <w:rsid w:val="0096034E"/>
    <w:rsid w:val="0096071D"/>
    <w:rsid w:val="00960935"/>
    <w:rsid w:val="009612CB"/>
    <w:rsid w:val="0096242B"/>
    <w:rsid w:val="0096336F"/>
    <w:rsid w:val="00964294"/>
    <w:rsid w:val="00964536"/>
    <w:rsid w:val="009723CB"/>
    <w:rsid w:val="00975A68"/>
    <w:rsid w:val="00977508"/>
    <w:rsid w:val="00977967"/>
    <w:rsid w:val="00977CDD"/>
    <w:rsid w:val="00980712"/>
    <w:rsid w:val="00980B61"/>
    <w:rsid w:val="009852C6"/>
    <w:rsid w:val="00985984"/>
    <w:rsid w:val="00985E9C"/>
    <w:rsid w:val="00991978"/>
    <w:rsid w:val="00992A6E"/>
    <w:rsid w:val="00995342"/>
    <w:rsid w:val="0099728B"/>
    <w:rsid w:val="009A1248"/>
    <w:rsid w:val="009A711B"/>
    <w:rsid w:val="009A7939"/>
    <w:rsid w:val="009B0A33"/>
    <w:rsid w:val="009B0F40"/>
    <w:rsid w:val="009B10C7"/>
    <w:rsid w:val="009B1474"/>
    <w:rsid w:val="009B605C"/>
    <w:rsid w:val="009B73B6"/>
    <w:rsid w:val="009C0BB4"/>
    <w:rsid w:val="009C102A"/>
    <w:rsid w:val="009C2357"/>
    <w:rsid w:val="009C23CA"/>
    <w:rsid w:val="009C5A50"/>
    <w:rsid w:val="009C7169"/>
    <w:rsid w:val="009C7406"/>
    <w:rsid w:val="009C761F"/>
    <w:rsid w:val="009C78B1"/>
    <w:rsid w:val="009D1B2E"/>
    <w:rsid w:val="009D584A"/>
    <w:rsid w:val="009D643D"/>
    <w:rsid w:val="009D7200"/>
    <w:rsid w:val="009E1D7A"/>
    <w:rsid w:val="009E37EF"/>
    <w:rsid w:val="009E40A9"/>
    <w:rsid w:val="009F1085"/>
    <w:rsid w:val="009F15E0"/>
    <w:rsid w:val="009F592D"/>
    <w:rsid w:val="009F6BAE"/>
    <w:rsid w:val="009F7A08"/>
    <w:rsid w:val="00A002A4"/>
    <w:rsid w:val="00A009BF"/>
    <w:rsid w:val="00A029CE"/>
    <w:rsid w:val="00A06AD5"/>
    <w:rsid w:val="00A07017"/>
    <w:rsid w:val="00A07262"/>
    <w:rsid w:val="00A10B4E"/>
    <w:rsid w:val="00A117C8"/>
    <w:rsid w:val="00A12B3F"/>
    <w:rsid w:val="00A12E72"/>
    <w:rsid w:val="00A137EB"/>
    <w:rsid w:val="00A1393F"/>
    <w:rsid w:val="00A1498B"/>
    <w:rsid w:val="00A15EFE"/>
    <w:rsid w:val="00A1674E"/>
    <w:rsid w:val="00A17AD9"/>
    <w:rsid w:val="00A20028"/>
    <w:rsid w:val="00A20B04"/>
    <w:rsid w:val="00A21C28"/>
    <w:rsid w:val="00A22B64"/>
    <w:rsid w:val="00A22DD4"/>
    <w:rsid w:val="00A23F7F"/>
    <w:rsid w:val="00A2435D"/>
    <w:rsid w:val="00A2451D"/>
    <w:rsid w:val="00A25BBA"/>
    <w:rsid w:val="00A27693"/>
    <w:rsid w:val="00A27A88"/>
    <w:rsid w:val="00A309A8"/>
    <w:rsid w:val="00A32219"/>
    <w:rsid w:val="00A33E18"/>
    <w:rsid w:val="00A348F8"/>
    <w:rsid w:val="00A35C58"/>
    <w:rsid w:val="00A44573"/>
    <w:rsid w:val="00A467A7"/>
    <w:rsid w:val="00A52C4F"/>
    <w:rsid w:val="00A53F88"/>
    <w:rsid w:val="00A5442B"/>
    <w:rsid w:val="00A54B8A"/>
    <w:rsid w:val="00A55895"/>
    <w:rsid w:val="00A55F05"/>
    <w:rsid w:val="00A57542"/>
    <w:rsid w:val="00A61F74"/>
    <w:rsid w:val="00A62A39"/>
    <w:rsid w:val="00A62A73"/>
    <w:rsid w:val="00A6483D"/>
    <w:rsid w:val="00A70055"/>
    <w:rsid w:val="00A73034"/>
    <w:rsid w:val="00A7671D"/>
    <w:rsid w:val="00A809D5"/>
    <w:rsid w:val="00A812E7"/>
    <w:rsid w:val="00A8197B"/>
    <w:rsid w:val="00A82654"/>
    <w:rsid w:val="00A834F0"/>
    <w:rsid w:val="00A85189"/>
    <w:rsid w:val="00A875BF"/>
    <w:rsid w:val="00A93522"/>
    <w:rsid w:val="00A93CDF"/>
    <w:rsid w:val="00A95B73"/>
    <w:rsid w:val="00AA0B92"/>
    <w:rsid w:val="00AA0E9F"/>
    <w:rsid w:val="00AA3AEF"/>
    <w:rsid w:val="00AA3B5E"/>
    <w:rsid w:val="00AA4686"/>
    <w:rsid w:val="00AA52AF"/>
    <w:rsid w:val="00AB02A3"/>
    <w:rsid w:val="00AB1052"/>
    <w:rsid w:val="00AB4E56"/>
    <w:rsid w:val="00AB6621"/>
    <w:rsid w:val="00AB787B"/>
    <w:rsid w:val="00AB79B6"/>
    <w:rsid w:val="00AC778A"/>
    <w:rsid w:val="00AC7E37"/>
    <w:rsid w:val="00AD20E5"/>
    <w:rsid w:val="00AD2903"/>
    <w:rsid w:val="00AD2ED4"/>
    <w:rsid w:val="00AD3A60"/>
    <w:rsid w:val="00AD3CFC"/>
    <w:rsid w:val="00AD4F11"/>
    <w:rsid w:val="00AD67DD"/>
    <w:rsid w:val="00AD7F63"/>
    <w:rsid w:val="00AE0E38"/>
    <w:rsid w:val="00AE13E8"/>
    <w:rsid w:val="00AE217C"/>
    <w:rsid w:val="00AE2885"/>
    <w:rsid w:val="00AE30C3"/>
    <w:rsid w:val="00AE5908"/>
    <w:rsid w:val="00AE606F"/>
    <w:rsid w:val="00AE6F3C"/>
    <w:rsid w:val="00AF02AD"/>
    <w:rsid w:val="00AF0750"/>
    <w:rsid w:val="00AF14FC"/>
    <w:rsid w:val="00AF220E"/>
    <w:rsid w:val="00AF23BD"/>
    <w:rsid w:val="00AF242C"/>
    <w:rsid w:val="00AF5859"/>
    <w:rsid w:val="00B004D8"/>
    <w:rsid w:val="00B00703"/>
    <w:rsid w:val="00B00F3D"/>
    <w:rsid w:val="00B02C8F"/>
    <w:rsid w:val="00B0397C"/>
    <w:rsid w:val="00B043E8"/>
    <w:rsid w:val="00B06120"/>
    <w:rsid w:val="00B07130"/>
    <w:rsid w:val="00B072EB"/>
    <w:rsid w:val="00B07862"/>
    <w:rsid w:val="00B07B37"/>
    <w:rsid w:val="00B07C16"/>
    <w:rsid w:val="00B115E2"/>
    <w:rsid w:val="00B13A87"/>
    <w:rsid w:val="00B16CA4"/>
    <w:rsid w:val="00B17179"/>
    <w:rsid w:val="00B216E3"/>
    <w:rsid w:val="00B2398E"/>
    <w:rsid w:val="00B23C77"/>
    <w:rsid w:val="00B25109"/>
    <w:rsid w:val="00B26E4E"/>
    <w:rsid w:val="00B317A9"/>
    <w:rsid w:val="00B31D83"/>
    <w:rsid w:val="00B33573"/>
    <w:rsid w:val="00B34199"/>
    <w:rsid w:val="00B34352"/>
    <w:rsid w:val="00B3443C"/>
    <w:rsid w:val="00B346F0"/>
    <w:rsid w:val="00B35027"/>
    <w:rsid w:val="00B4086C"/>
    <w:rsid w:val="00B430D8"/>
    <w:rsid w:val="00B436AC"/>
    <w:rsid w:val="00B4763A"/>
    <w:rsid w:val="00B508E7"/>
    <w:rsid w:val="00B50C00"/>
    <w:rsid w:val="00B50EC2"/>
    <w:rsid w:val="00B516D9"/>
    <w:rsid w:val="00B523ED"/>
    <w:rsid w:val="00B52763"/>
    <w:rsid w:val="00B539F5"/>
    <w:rsid w:val="00B54E1D"/>
    <w:rsid w:val="00B569F2"/>
    <w:rsid w:val="00B56B09"/>
    <w:rsid w:val="00B56B61"/>
    <w:rsid w:val="00B57564"/>
    <w:rsid w:val="00B57F15"/>
    <w:rsid w:val="00B629B1"/>
    <w:rsid w:val="00B62C59"/>
    <w:rsid w:val="00B63E61"/>
    <w:rsid w:val="00B65F0C"/>
    <w:rsid w:val="00B66E70"/>
    <w:rsid w:val="00B66EA2"/>
    <w:rsid w:val="00B66FE7"/>
    <w:rsid w:val="00B70E42"/>
    <w:rsid w:val="00B712B1"/>
    <w:rsid w:val="00B73236"/>
    <w:rsid w:val="00B7439D"/>
    <w:rsid w:val="00B74B79"/>
    <w:rsid w:val="00B80829"/>
    <w:rsid w:val="00B80851"/>
    <w:rsid w:val="00B82A2C"/>
    <w:rsid w:val="00B83DA2"/>
    <w:rsid w:val="00B84155"/>
    <w:rsid w:val="00B8423B"/>
    <w:rsid w:val="00B845C6"/>
    <w:rsid w:val="00B8488F"/>
    <w:rsid w:val="00B854BA"/>
    <w:rsid w:val="00B91335"/>
    <w:rsid w:val="00B92053"/>
    <w:rsid w:val="00B920E5"/>
    <w:rsid w:val="00B925E7"/>
    <w:rsid w:val="00B94F02"/>
    <w:rsid w:val="00B9625F"/>
    <w:rsid w:val="00B967EE"/>
    <w:rsid w:val="00B973A2"/>
    <w:rsid w:val="00B97423"/>
    <w:rsid w:val="00B97850"/>
    <w:rsid w:val="00B97D72"/>
    <w:rsid w:val="00BA072F"/>
    <w:rsid w:val="00BA083A"/>
    <w:rsid w:val="00BA167E"/>
    <w:rsid w:val="00BA3066"/>
    <w:rsid w:val="00BA3517"/>
    <w:rsid w:val="00BA37E1"/>
    <w:rsid w:val="00BA60A9"/>
    <w:rsid w:val="00BA7FA9"/>
    <w:rsid w:val="00BB1AC4"/>
    <w:rsid w:val="00BB25B7"/>
    <w:rsid w:val="00BB29EC"/>
    <w:rsid w:val="00BB4459"/>
    <w:rsid w:val="00BB589B"/>
    <w:rsid w:val="00BB5FF1"/>
    <w:rsid w:val="00BC27DC"/>
    <w:rsid w:val="00BC2B64"/>
    <w:rsid w:val="00BC2C47"/>
    <w:rsid w:val="00BC2DB8"/>
    <w:rsid w:val="00BC30F8"/>
    <w:rsid w:val="00BC39CC"/>
    <w:rsid w:val="00BC4CF0"/>
    <w:rsid w:val="00BC6331"/>
    <w:rsid w:val="00BD3FF1"/>
    <w:rsid w:val="00BD48BA"/>
    <w:rsid w:val="00BD6A1D"/>
    <w:rsid w:val="00BD6FA5"/>
    <w:rsid w:val="00BD7493"/>
    <w:rsid w:val="00BE353D"/>
    <w:rsid w:val="00BE578A"/>
    <w:rsid w:val="00BE777A"/>
    <w:rsid w:val="00BF0062"/>
    <w:rsid w:val="00BF09AA"/>
    <w:rsid w:val="00BF0C8F"/>
    <w:rsid w:val="00BF15DE"/>
    <w:rsid w:val="00BF21FE"/>
    <w:rsid w:val="00BF3804"/>
    <w:rsid w:val="00C00CD9"/>
    <w:rsid w:val="00C012E9"/>
    <w:rsid w:val="00C01865"/>
    <w:rsid w:val="00C07D39"/>
    <w:rsid w:val="00C12426"/>
    <w:rsid w:val="00C12F9D"/>
    <w:rsid w:val="00C17338"/>
    <w:rsid w:val="00C24751"/>
    <w:rsid w:val="00C24A53"/>
    <w:rsid w:val="00C31A3C"/>
    <w:rsid w:val="00C328A3"/>
    <w:rsid w:val="00C365EE"/>
    <w:rsid w:val="00C37D30"/>
    <w:rsid w:val="00C400EC"/>
    <w:rsid w:val="00C408F8"/>
    <w:rsid w:val="00C40A79"/>
    <w:rsid w:val="00C45B63"/>
    <w:rsid w:val="00C4620D"/>
    <w:rsid w:val="00C47AA3"/>
    <w:rsid w:val="00C5077A"/>
    <w:rsid w:val="00C50DC5"/>
    <w:rsid w:val="00C50E7C"/>
    <w:rsid w:val="00C52E5D"/>
    <w:rsid w:val="00C543BB"/>
    <w:rsid w:val="00C5476A"/>
    <w:rsid w:val="00C60FD7"/>
    <w:rsid w:val="00C61A74"/>
    <w:rsid w:val="00C61D95"/>
    <w:rsid w:val="00C705B5"/>
    <w:rsid w:val="00C70C0C"/>
    <w:rsid w:val="00C73289"/>
    <w:rsid w:val="00C73954"/>
    <w:rsid w:val="00C73CCD"/>
    <w:rsid w:val="00C73DC1"/>
    <w:rsid w:val="00C73E84"/>
    <w:rsid w:val="00C74A9C"/>
    <w:rsid w:val="00C753C3"/>
    <w:rsid w:val="00C76799"/>
    <w:rsid w:val="00C770A1"/>
    <w:rsid w:val="00C81DCE"/>
    <w:rsid w:val="00C84DE1"/>
    <w:rsid w:val="00C8630B"/>
    <w:rsid w:val="00C867B7"/>
    <w:rsid w:val="00C8780F"/>
    <w:rsid w:val="00C90C5E"/>
    <w:rsid w:val="00C91AB6"/>
    <w:rsid w:val="00C93F74"/>
    <w:rsid w:val="00C940FB"/>
    <w:rsid w:val="00C951C6"/>
    <w:rsid w:val="00C95A7C"/>
    <w:rsid w:val="00C96074"/>
    <w:rsid w:val="00C96C7D"/>
    <w:rsid w:val="00C96E7C"/>
    <w:rsid w:val="00CA067D"/>
    <w:rsid w:val="00CA211D"/>
    <w:rsid w:val="00CA476D"/>
    <w:rsid w:val="00CA4B31"/>
    <w:rsid w:val="00CA6E34"/>
    <w:rsid w:val="00CB073A"/>
    <w:rsid w:val="00CB26B2"/>
    <w:rsid w:val="00CB4158"/>
    <w:rsid w:val="00CB49E1"/>
    <w:rsid w:val="00CC4AD4"/>
    <w:rsid w:val="00CC6CD2"/>
    <w:rsid w:val="00CC7235"/>
    <w:rsid w:val="00CD08B1"/>
    <w:rsid w:val="00CD27EE"/>
    <w:rsid w:val="00CD4463"/>
    <w:rsid w:val="00CD460D"/>
    <w:rsid w:val="00CD52DC"/>
    <w:rsid w:val="00CE34FE"/>
    <w:rsid w:val="00CE5AA5"/>
    <w:rsid w:val="00CE65B4"/>
    <w:rsid w:val="00CF1019"/>
    <w:rsid w:val="00CF1377"/>
    <w:rsid w:val="00CF241C"/>
    <w:rsid w:val="00CF282A"/>
    <w:rsid w:val="00CF2CE8"/>
    <w:rsid w:val="00CF4C7F"/>
    <w:rsid w:val="00CF67BB"/>
    <w:rsid w:val="00CF6F7D"/>
    <w:rsid w:val="00CF760B"/>
    <w:rsid w:val="00D00EA6"/>
    <w:rsid w:val="00D0283D"/>
    <w:rsid w:val="00D030CC"/>
    <w:rsid w:val="00D03ACD"/>
    <w:rsid w:val="00D048AD"/>
    <w:rsid w:val="00D078EA"/>
    <w:rsid w:val="00D136BD"/>
    <w:rsid w:val="00D1456B"/>
    <w:rsid w:val="00D1461E"/>
    <w:rsid w:val="00D149E1"/>
    <w:rsid w:val="00D15CD0"/>
    <w:rsid w:val="00D15E28"/>
    <w:rsid w:val="00D1730C"/>
    <w:rsid w:val="00D17AAB"/>
    <w:rsid w:val="00D17EF0"/>
    <w:rsid w:val="00D20784"/>
    <w:rsid w:val="00D2260C"/>
    <w:rsid w:val="00D24FBB"/>
    <w:rsid w:val="00D25263"/>
    <w:rsid w:val="00D258B9"/>
    <w:rsid w:val="00D25A5E"/>
    <w:rsid w:val="00D26F3D"/>
    <w:rsid w:val="00D2743D"/>
    <w:rsid w:val="00D31DC2"/>
    <w:rsid w:val="00D31E3E"/>
    <w:rsid w:val="00D34112"/>
    <w:rsid w:val="00D3743D"/>
    <w:rsid w:val="00D428B9"/>
    <w:rsid w:val="00D43A26"/>
    <w:rsid w:val="00D44BFA"/>
    <w:rsid w:val="00D466E4"/>
    <w:rsid w:val="00D4687A"/>
    <w:rsid w:val="00D46C22"/>
    <w:rsid w:val="00D46EC4"/>
    <w:rsid w:val="00D476F9"/>
    <w:rsid w:val="00D53352"/>
    <w:rsid w:val="00D53E37"/>
    <w:rsid w:val="00D54701"/>
    <w:rsid w:val="00D548AB"/>
    <w:rsid w:val="00D56552"/>
    <w:rsid w:val="00D5778B"/>
    <w:rsid w:val="00D57CB5"/>
    <w:rsid w:val="00D60E38"/>
    <w:rsid w:val="00D63E5C"/>
    <w:rsid w:val="00D657BC"/>
    <w:rsid w:val="00D65EC2"/>
    <w:rsid w:val="00D65FF3"/>
    <w:rsid w:val="00D74024"/>
    <w:rsid w:val="00D7686A"/>
    <w:rsid w:val="00D77805"/>
    <w:rsid w:val="00D77B26"/>
    <w:rsid w:val="00D81A6D"/>
    <w:rsid w:val="00D81BCA"/>
    <w:rsid w:val="00D83B1F"/>
    <w:rsid w:val="00D864D9"/>
    <w:rsid w:val="00D86CA8"/>
    <w:rsid w:val="00D87A68"/>
    <w:rsid w:val="00D9032B"/>
    <w:rsid w:val="00D94C9B"/>
    <w:rsid w:val="00D95D63"/>
    <w:rsid w:val="00D960DD"/>
    <w:rsid w:val="00D96D6E"/>
    <w:rsid w:val="00D97F63"/>
    <w:rsid w:val="00DA00DE"/>
    <w:rsid w:val="00DA19B9"/>
    <w:rsid w:val="00DA25A8"/>
    <w:rsid w:val="00DA268F"/>
    <w:rsid w:val="00DA2727"/>
    <w:rsid w:val="00DA4F08"/>
    <w:rsid w:val="00DA6423"/>
    <w:rsid w:val="00DA64DE"/>
    <w:rsid w:val="00DA6874"/>
    <w:rsid w:val="00DA6D03"/>
    <w:rsid w:val="00DB229D"/>
    <w:rsid w:val="00DB2353"/>
    <w:rsid w:val="00DB3D62"/>
    <w:rsid w:val="00DB4B02"/>
    <w:rsid w:val="00DB576E"/>
    <w:rsid w:val="00DB72EB"/>
    <w:rsid w:val="00DC024C"/>
    <w:rsid w:val="00DC0A88"/>
    <w:rsid w:val="00DC25B7"/>
    <w:rsid w:val="00DC2C52"/>
    <w:rsid w:val="00DC3A7A"/>
    <w:rsid w:val="00DC64C2"/>
    <w:rsid w:val="00DC68FD"/>
    <w:rsid w:val="00DD18E9"/>
    <w:rsid w:val="00DD1EFB"/>
    <w:rsid w:val="00DD2332"/>
    <w:rsid w:val="00DD406A"/>
    <w:rsid w:val="00DD474C"/>
    <w:rsid w:val="00DD573A"/>
    <w:rsid w:val="00DD5820"/>
    <w:rsid w:val="00DD6858"/>
    <w:rsid w:val="00DE0B17"/>
    <w:rsid w:val="00DE150C"/>
    <w:rsid w:val="00DE2FC9"/>
    <w:rsid w:val="00DE346B"/>
    <w:rsid w:val="00DE3CE3"/>
    <w:rsid w:val="00DE4339"/>
    <w:rsid w:val="00DE43F5"/>
    <w:rsid w:val="00DE4734"/>
    <w:rsid w:val="00DE57E3"/>
    <w:rsid w:val="00DE7848"/>
    <w:rsid w:val="00DF10BC"/>
    <w:rsid w:val="00DF23EF"/>
    <w:rsid w:val="00DF2E0D"/>
    <w:rsid w:val="00DF2E2A"/>
    <w:rsid w:val="00DF42BC"/>
    <w:rsid w:val="00DF46FA"/>
    <w:rsid w:val="00DF52A3"/>
    <w:rsid w:val="00DF58C5"/>
    <w:rsid w:val="00E06E14"/>
    <w:rsid w:val="00E101FF"/>
    <w:rsid w:val="00E11681"/>
    <w:rsid w:val="00E11EED"/>
    <w:rsid w:val="00E12D0F"/>
    <w:rsid w:val="00E13664"/>
    <w:rsid w:val="00E13C2A"/>
    <w:rsid w:val="00E16051"/>
    <w:rsid w:val="00E170E2"/>
    <w:rsid w:val="00E17FE1"/>
    <w:rsid w:val="00E201CC"/>
    <w:rsid w:val="00E21618"/>
    <w:rsid w:val="00E22AA6"/>
    <w:rsid w:val="00E24230"/>
    <w:rsid w:val="00E246A0"/>
    <w:rsid w:val="00E251C0"/>
    <w:rsid w:val="00E3040C"/>
    <w:rsid w:val="00E31115"/>
    <w:rsid w:val="00E31AD2"/>
    <w:rsid w:val="00E327E1"/>
    <w:rsid w:val="00E32B3D"/>
    <w:rsid w:val="00E33BA4"/>
    <w:rsid w:val="00E34884"/>
    <w:rsid w:val="00E36443"/>
    <w:rsid w:val="00E36F9E"/>
    <w:rsid w:val="00E37F44"/>
    <w:rsid w:val="00E4055D"/>
    <w:rsid w:val="00E406E6"/>
    <w:rsid w:val="00E43526"/>
    <w:rsid w:val="00E43F0C"/>
    <w:rsid w:val="00E50735"/>
    <w:rsid w:val="00E515BE"/>
    <w:rsid w:val="00E529CB"/>
    <w:rsid w:val="00E535F3"/>
    <w:rsid w:val="00E54BCA"/>
    <w:rsid w:val="00E55F02"/>
    <w:rsid w:val="00E56CF0"/>
    <w:rsid w:val="00E63B9B"/>
    <w:rsid w:val="00E64266"/>
    <w:rsid w:val="00E66CD6"/>
    <w:rsid w:val="00E725F7"/>
    <w:rsid w:val="00E73027"/>
    <w:rsid w:val="00E7417E"/>
    <w:rsid w:val="00E76C85"/>
    <w:rsid w:val="00E77EC6"/>
    <w:rsid w:val="00E80234"/>
    <w:rsid w:val="00E8108C"/>
    <w:rsid w:val="00E81C31"/>
    <w:rsid w:val="00E82DFC"/>
    <w:rsid w:val="00E8326B"/>
    <w:rsid w:val="00E84D06"/>
    <w:rsid w:val="00E8546B"/>
    <w:rsid w:val="00E858BB"/>
    <w:rsid w:val="00E85962"/>
    <w:rsid w:val="00E85B7E"/>
    <w:rsid w:val="00E86332"/>
    <w:rsid w:val="00E86521"/>
    <w:rsid w:val="00E90EE9"/>
    <w:rsid w:val="00E9167C"/>
    <w:rsid w:val="00E93BE4"/>
    <w:rsid w:val="00E95D2A"/>
    <w:rsid w:val="00E96ED9"/>
    <w:rsid w:val="00EA2B8C"/>
    <w:rsid w:val="00EA2FA8"/>
    <w:rsid w:val="00EA3B9F"/>
    <w:rsid w:val="00EA4F77"/>
    <w:rsid w:val="00EA59F5"/>
    <w:rsid w:val="00EB297C"/>
    <w:rsid w:val="00EB3578"/>
    <w:rsid w:val="00EB3B00"/>
    <w:rsid w:val="00EB4EAE"/>
    <w:rsid w:val="00EB5BC2"/>
    <w:rsid w:val="00EB6BD2"/>
    <w:rsid w:val="00EC11FD"/>
    <w:rsid w:val="00EC2F22"/>
    <w:rsid w:val="00EC3D46"/>
    <w:rsid w:val="00EC4395"/>
    <w:rsid w:val="00EC4C57"/>
    <w:rsid w:val="00EC55B6"/>
    <w:rsid w:val="00EC563A"/>
    <w:rsid w:val="00EC5DE6"/>
    <w:rsid w:val="00EC7245"/>
    <w:rsid w:val="00EC784A"/>
    <w:rsid w:val="00ED0822"/>
    <w:rsid w:val="00ED3E0F"/>
    <w:rsid w:val="00ED4308"/>
    <w:rsid w:val="00ED4A15"/>
    <w:rsid w:val="00ED5A72"/>
    <w:rsid w:val="00ED5F8E"/>
    <w:rsid w:val="00ED6B42"/>
    <w:rsid w:val="00ED6E66"/>
    <w:rsid w:val="00ED79F0"/>
    <w:rsid w:val="00ED7A7D"/>
    <w:rsid w:val="00EE0C3D"/>
    <w:rsid w:val="00EE3EC0"/>
    <w:rsid w:val="00EE55B2"/>
    <w:rsid w:val="00EE5D7B"/>
    <w:rsid w:val="00EE605E"/>
    <w:rsid w:val="00EF1647"/>
    <w:rsid w:val="00EF27ED"/>
    <w:rsid w:val="00EF2DD8"/>
    <w:rsid w:val="00EF3C74"/>
    <w:rsid w:val="00EF461A"/>
    <w:rsid w:val="00EF57A3"/>
    <w:rsid w:val="00EF78BE"/>
    <w:rsid w:val="00F011B1"/>
    <w:rsid w:val="00F043C2"/>
    <w:rsid w:val="00F05286"/>
    <w:rsid w:val="00F05CC7"/>
    <w:rsid w:val="00F07690"/>
    <w:rsid w:val="00F07DC5"/>
    <w:rsid w:val="00F10D80"/>
    <w:rsid w:val="00F1112D"/>
    <w:rsid w:val="00F129AB"/>
    <w:rsid w:val="00F13CD2"/>
    <w:rsid w:val="00F15500"/>
    <w:rsid w:val="00F155B0"/>
    <w:rsid w:val="00F16E18"/>
    <w:rsid w:val="00F17F56"/>
    <w:rsid w:val="00F241F6"/>
    <w:rsid w:val="00F242F6"/>
    <w:rsid w:val="00F24B2C"/>
    <w:rsid w:val="00F24D01"/>
    <w:rsid w:val="00F264FC"/>
    <w:rsid w:val="00F268D6"/>
    <w:rsid w:val="00F30FA2"/>
    <w:rsid w:val="00F36E46"/>
    <w:rsid w:val="00F40750"/>
    <w:rsid w:val="00F41982"/>
    <w:rsid w:val="00F441FD"/>
    <w:rsid w:val="00F4512D"/>
    <w:rsid w:val="00F50C29"/>
    <w:rsid w:val="00F51F23"/>
    <w:rsid w:val="00F525ED"/>
    <w:rsid w:val="00F53523"/>
    <w:rsid w:val="00F54C59"/>
    <w:rsid w:val="00F56954"/>
    <w:rsid w:val="00F56E4A"/>
    <w:rsid w:val="00F60AFC"/>
    <w:rsid w:val="00F612F7"/>
    <w:rsid w:val="00F72A14"/>
    <w:rsid w:val="00F7316E"/>
    <w:rsid w:val="00F75EAD"/>
    <w:rsid w:val="00F7681E"/>
    <w:rsid w:val="00F76C26"/>
    <w:rsid w:val="00F80431"/>
    <w:rsid w:val="00F82601"/>
    <w:rsid w:val="00F8266D"/>
    <w:rsid w:val="00F848DD"/>
    <w:rsid w:val="00F86CE6"/>
    <w:rsid w:val="00F87DF7"/>
    <w:rsid w:val="00F930B1"/>
    <w:rsid w:val="00F9626E"/>
    <w:rsid w:val="00F97FC1"/>
    <w:rsid w:val="00FA789B"/>
    <w:rsid w:val="00FB0B42"/>
    <w:rsid w:val="00FB277E"/>
    <w:rsid w:val="00FB287D"/>
    <w:rsid w:val="00FB427A"/>
    <w:rsid w:val="00FB4B18"/>
    <w:rsid w:val="00FB5F2E"/>
    <w:rsid w:val="00FB68EB"/>
    <w:rsid w:val="00FB73E8"/>
    <w:rsid w:val="00FC112A"/>
    <w:rsid w:val="00FC3FD5"/>
    <w:rsid w:val="00FC4693"/>
    <w:rsid w:val="00FC67D7"/>
    <w:rsid w:val="00FC6DE7"/>
    <w:rsid w:val="00FD0606"/>
    <w:rsid w:val="00FD07B4"/>
    <w:rsid w:val="00FD6B2D"/>
    <w:rsid w:val="00FD7AE5"/>
    <w:rsid w:val="00FE002F"/>
    <w:rsid w:val="00FE1400"/>
    <w:rsid w:val="00FE4FD2"/>
    <w:rsid w:val="00FE5B56"/>
    <w:rsid w:val="00FE5C85"/>
    <w:rsid w:val="00FE78DC"/>
    <w:rsid w:val="00FE7BD8"/>
    <w:rsid w:val="00FF1F9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1718B"/>
  <w15:docId w15:val="{94DAE0A7-030C-4CC3-B2B9-A6B989CF8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055D"/>
    <w:pPr>
      <w:spacing w:line="256" w:lineRule="auto"/>
    </w:pPr>
    <w:rPr>
      <w:rFonts w:eastAsiaTheme="minorEastAsia"/>
      <w:lang w:eastAsia="zh-CN"/>
    </w:rPr>
  </w:style>
  <w:style w:type="paragraph" w:styleId="Heading1">
    <w:name w:val="heading 1"/>
    <w:basedOn w:val="Normal"/>
    <w:next w:val="Normal"/>
    <w:link w:val="Heading1Char"/>
    <w:uiPriority w:val="9"/>
    <w:qFormat/>
    <w:rsid w:val="00D77B2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594FD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D6B42"/>
    <w:rPr>
      <w:color w:val="0563C1" w:themeColor="hyperlink"/>
      <w:u w:val="single"/>
    </w:rPr>
  </w:style>
  <w:style w:type="paragraph" w:styleId="NormalWeb">
    <w:name w:val="Normal (Web)"/>
    <w:basedOn w:val="Normal"/>
    <w:uiPriority w:val="99"/>
    <w:unhideWhenUsed/>
    <w:rsid w:val="00ED6B42"/>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D6B42"/>
    <w:pPr>
      <w:ind w:left="720"/>
      <w:contextualSpacing/>
    </w:pPr>
  </w:style>
  <w:style w:type="paragraph" w:customStyle="1" w:styleId="Disclaimer">
    <w:name w:val="Disclaimer"/>
    <w:basedOn w:val="Normal"/>
    <w:qFormat/>
    <w:rsid w:val="00B4763A"/>
    <w:pPr>
      <w:pBdr>
        <w:top w:val="single" w:sz="2" w:space="1" w:color="000001"/>
        <w:left w:val="single" w:sz="2" w:space="1" w:color="000001"/>
        <w:bottom w:val="single" w:sz="2" w:space="1" w:color="000001"/>
        <w:right w:val="single" w:sz="2" w:space="1" w:color="000001"/>
      </w:pBdr>
      <w:shd w:val="clear" w:color="auto" w:fill="DDDDDD"/>
      <w:spacing w:before="101" w:after="101" w:line="240" w:lineRule="auto"/>
      <w:jc w:val="both"/>
    </w:pPr>
    <w:rPr>
      <w:rFonts w:eastAsiaTheme="minorHAnsi"/>
      <w:color w:val="00000A"/>
      <w:sz w:val="24"/>
      <w:szCs w:val="24"/>
      <w:lang w:eastAsia="en-US"/>
    </w:rPr>
  </w:style>
  <w:style w:type="paragraph" w:customStyle="1" w:styleId="BlackStrips">
    <w:name w:val="Black Strips"/>
    <w:basedOn w:val="Normal"/>
    <w:qFormat/>
    <w:rsid w:val="00B4763A"/>
    <w:pPr>
      <w:shd w:val="clear" w:color="auto" w:fill="000000"/>
      <w:spacing w:after="200" w:line="240" w:lineRule="auto"/>
      <w:jc w:val="center"/>
    </w:pPr>
    <w:rPr>
      <w:rFonts w:eastAsiaTheme="minorHAnsi"/>
      <w:color w:val="FFFFFF"/>
      <w:sz w:val="24"/>
      <w:szCs w:val="24"/>
      <w:lang w:eastAsia="en-US"/>
    </w:rPr>
  </w:style>
  <w:style w:type="character" w:customStyle="1" w:styleId="UnresolvedMention1">
    <w:name w:val="Unresolved Mention1"/>
    <w:basedOn w:val="DefaultParagraphFont"/>
    <w:uiPriority w:val="99"/>
    <w:semiHidden/>
    <w:unhideWhenUsed/>
    <w:rsid w:val="00BA37E1"/>
    <w:rPr>
      <w:color w:val="605E5C"/>
      <w:shd w:val="clear" w:color="auto" w:fill="E1DFDD"/>
    </w:rPr>
  </w:style>
  <w:style w:type="paragraph" w:styleId="Revision">
    <w:name w:val="Revision"/>
    <w:hidden/>
    <w:uiPriority w:val="99"/>
    <w:semiHidden/>
    <w:rsid w:val="00183CF7"/>
    <w:pPr>
      <w:spacing w:after="0" w:line="240" w:lineRule="auto"/>
    </w:pPr>
    <w:rPr>
      <w:rFonts w:eastAsiaTheme="minorEastAsia"/>
      <w:lang w:eastAsia="zh-CN"/>
    </w:rPr>
  </w:style>
  <w:style w:type="paragraph" w:styleId="BalloonText">
    <w:name w:val="Balloon Text"/>
    <w:basedOn w:val="Normal"/>
    <w:link w:val="BalloonTextChar"/>
    <w:uiPriority w:val="99"/>
    <w:semiHidden/>
    <w:unhideWhenUsed/>
    <w:rsid w:val="00011D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1D2F"/>
    <w:rPr>
      <w:rFonts w:ascii="Tahoma" w:eastAsiaTheme="minorEastAsia" w:hAnsi="Tahoma" w:cs="Tahoma"/>
      <w:sz w:val="16"/>
      <w:szCs w:val="16"/>
      <w:lang w:eastAsia="zh-CN"/>
    </w:rPr>
  </w:style>
  <w:style w:type="character" w:customStyle="1" w:styleId="UnresolvedMention2">
    <w:name w:val="Unresolved Mention2"/>
    <w:basedOn w:val="DefaultParagraphFont"/>
    <w:uiPriority w:val="99"/>
    <w:semiHidden/>
    <w:unhideWhenUsed/>
    <w:rsid w:val="008577C6"/>
    <w:rPr>
      <w:color w:val="605E5C"/>
      <w:shd w:val="clear" w:color="auto" w:fill="E1DFDD"/>
    </w:rPr>
  </w:style>
  <w:style w:type="character" w:customStyle="1" w:styleId="UnresolvedMention3">
    <w:name w:val="Unresolved Mention3"/>
    <w:basedOn w:val="DefaultParagraphFont"/>
    <w:uiPriority w:val="99"/>
    <w:semiHidden/>
    <w:unhideWhenUsed/>
    <w:rsid w:val="00ED0822"/>
    <w:rPr>
      <w:color w:val="605E5C"/>
      <w:shd w:val="clear" w:color="auto" w:fill="E1DFDD"/>
    </w:rPr>
  </w:style>
  <w:style w:type="character" w:styleId="CommentReference">
    <w:name w:val="annotation reference"/>
    <w:basedOn w:val="DefaultParagraphFont"/>
    <w:uiPriority w:val="99"/>
    <w:semiHidden/>
    <w:unhideWhenUsed/>
    <w:rsid w:val="004B0F4E"/>
    <w:rPr>
      <w:sz w:val="16"/>
      <w:szCs w:val="16"/>
    </w:rPr>
  </w:style>
  <w:style w:type="paragraph" w:styleId="CommentText">
    <w:name w:val="annotation text"/>
    <w:basedOn w:val="Normal"/>
    <w:link w:val="CommentTextChar"/>
    <w:uiPriority w:val="99"/>
    <w:semiHidden/>
    <w:unhideWhenUsed/>
    <w:rsid w:val="004B0F4E"/>
    <w:pPr>
      <w:spacing w:line="240" w:lineRule="auto"/>
    </w:pPr>
    <w:rPr>
      <w:sz w:val="20"/>
      <w:szCs w:val="20"/>
    </w:rPr>
  </w:style>
  <w:style w:type="character" w:customStyle="1" w:styleId="CommentTextChar">
    <w:name w:val="Comment Text Char"/>
    <w:basedOn w:val="DefaultParagraphFont"/>
    <w:link w:val="CommentText"/>
    <w:uiPriority w:val="99"/>
    <w:semiHidden/>
    <w:rsid w:val="004B0F4E"/>
    <w:rPr>
      <w:rFonts w:eastAsiaTheme="minorEastAsia"/>
      <w:sz w:val="20"/>
      <w:szCs w:val="20"/>
      <w:lang w:eastAsia="zh-CN"/>
    </w:rPr>
  </w:style>
  <w:style w:type="paragraph" w:styleId="CommentSubject">
    <w:name w:val="annotation subject"/>
    <w:basedOn w:val="CommentText"/>
    <w:next w:val="CommentText"/>
    <w:link w:val="CommentSubjectChar"/>
    <w:uiPriority w:val="99"/>
    <w:semiHidden/>
    <w:unhideWhenUsed/>
    <w:rsid w:val="004B0F4E"/>
    <w:rPr>
      <w:b/>
      <w:bCs/>
    </w:rPr>
  </w:style>
  <w:style w:type="character" w:customStyle="1" w:styleId="CommentSubjectChar">
    <w:name w:val="Comment Subject Char"/>
    <w:basedOn w:val="CommentTextChar"/>
    <w:link w:val="CommentSubject"/>
    <w:uiPriority w:val="99"/>
    <w:semiHidden/>
    <w:rsid w:val="004B0F4E"/>
    <w:rPr>
      <w:rFonts w:eastAsiaTheme="minorEastAsia"/>
      <w:b/>
      <w:bCs/>
      <w:sz w:val="20"/>
      <w:szCs w:val="20"/>
      <w:lang w:eastAsia="zh-CN"/>
    </w:rPr>
  </w:style>
  <w:style w:type="character" w:customStyle="1" w:styleId="UnresolvedMention4">
    <w:name w:val="Unresolved Mention4"/>
    <w:basedOn w:val="DefaultParagraphFont"/>
    <w:uiPriority w:val="99"/>
    <w:semiHidden/>
    <w:unhideWhenUsed/>
    <w:rsid w:val="00FB4B18"/>
    <w:rPr>
      <w:color w:val="605E5C"/>
      <w:shd w:val="clear" w:color="auto" w:fill="E1DFDD"/>
    </w:rPr>
  </w:style>
  <w:style w:type="character" w:styleId="FollowedHyperlink">
    <w:name w:val="FollowedHyperlink"/>
    <w:basedOn w:val="DefaultParagraphFont"/>
    <w:uiPriority w:val="99"/>
    <w:semiHidden/>
    <w:unhideWhenUsed/>
    <w:rsid w:val="00374E68"/>
    <w:rPr>
      <w:color w:val="954F72" w:themeColor="followedHyperlink"/>
      <w:u w:val="single"/>
    </w:rPr>
  </w:style>
  <w:style w:type="character" w:styleId="UnresolvedMention">
    <w:name w:val="Unresolved Mention"/>
    <w:basedOn w:val="DefaultParagraphFont"/>
    <w:uiPriority w:val="99"/>
    <w:semiHidden/>
    <w:unhideWhenUsed/>
    <w:rsid w:val="00372AF8"/>
    <w:rPr>
      <w:color w:val="605E5C"/>
      <w:shd w:val="clear" w:color="auto" w:fill="E1DFDD"/>
    </w:rPr>
  </w:style>
  <w:style w:type="character" w:customStyle="1" w:styleId="Heading1Char">
    <w:name w:val="Heading 1 Char"/>
    <w:basedOn w:val="DefaultParagraphFont"/>
    <w:link w:val="Heading1"/>
    <w:uiPriority w:val="9"/>
    <w:rsid w:val="00D77B26"/>
    <w:rPr>
      <w:rFonts w:asciiTheme="majorHAnsi" w:eastAsiaTheme="majorEastAsia" w:hAnsiTheme="majorHAnsi" w:cstheme="majorBidi"/>
      <w:color w:val="2E74B5" w:themeColor="accent1" w:themeShade="BF"/>
      <w:sz w:val="32"/>
      <w:szCs w:val="32"/>
      <w:lang w:eastAsia="zh-CN"/>
    </w:rPr>
  </w:style>
  <w:style w:type="character" w:customStyle="1" w:styleId="Heading2Char">
    <w:name w:val="Heading 2 Char"/>
    <w:basedOn w:val="DefaultParagraphFont"/>
    <w:link w:val="Heading2"/>
    <w:uiPriority w:val="9"/>
    <w:semiHidden/>
    <w:rsid w:val="00594FDB"/>
    <w:rPr>
      <w:rFonts w:asciiTheme="majorHAnsi" w:eastAsiaTheme="majorEastAsia" w:hAnsiTheme="majorHAnsi" w:cstheme="majorBidi"/>
      <w:color w:val="2E74B5" w:themeColor="accent1" w:themeShade="BF"/>
      <w:sz w:val="26"/>
      <w:szCs w:val="26"/>
      <w:lang w:eastAsia="zh-CN"/>
    </w:rPr>
  </w:style>
  <w:style w:type="paragraph" w:styleId="Header">
    <w:name w:val="header"/>
    <w:basedOn w:val="Normal"/>
    <w:link w:val="HeaderChar"/>
    <w:uiPriority w:val="99"/>
    <w:unhideWhenUsed/>
    <w:rsid w:val="009101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01EB"/>
    <w:rPr>
      <w:rFonts w:eastAsiaTheme="minorEastAsia"/>
      <w:lang w:eastAsia="zh-CN"/>
    </w:rPr>
  </w:style>
  <w:style w:type="paragraph" w:styleId="Footer">
    <w:name w:val="footer"/>
    <w:basedOn w:val="Normal"/>
    <w:link w:val="FooterChar"/>
    <w:uiPriority w:val="99"/>
    <w:unhideWhenUsed/>
    <w:rsid w:val="009101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01EB"/>
    <w:rPr>
      <w:rFonts w:eastAsiaTheme="minorEastAsia"/>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5292">
      <w:bodyDiv w:val="1"/>
      <w:marLeft w:val="0"/>
      <w:marRight w:val="0"/>
      <w:marTop w:val="0"/>
      <w:marBottom w:val="0"/>
      <w:divBdr>
        <w:top w:val="none" w:sz="0" w:space="0" w:color="auto"/>
        <w:left w:val="none" w:sz="0" w:space="0" w:color="auto"/>
        <w:bottom w:val="none" w:sz="0" w:space="0" w:color="auto"/>
        <w:right w:val="none" w:sz="0" w:space="0" w:color="auto"/>
      </w:divBdr>
    </w:div>
    <w:div w:id="3173235">
      <w:bodyDiv w:val="1"/>
      <w:marLeft w:val="0"/>
      <w:marRight w:val="0"/>
      <w:marTop w:val="0"/>
      <w:marBottom w:val="0"/>
      <w:divBdr>
        <w:top w:val="none" w:sz="0" w:space="0" w:color="auto"/>
        <w:left w:val="none" w:sz="0" w:space="0" w:color="auto"/>
        <w:bottom w:val="none" w:sz="0" w:space="0" w:color="auto"/>
        <w:right w:val="none" w:sz="0" w:space="0" w:color="auto"/>
      </w:divBdr>
    </w:div>
    <w:div w:id="5063735">
      <w:bodyDiv w:val="1"/>
      <w:marLeft w:val="0"/>
      <w:marRight w:val="0"/>
      <w:marTop w:val="0"/>
      <w:marBottom w:val="0"/>
      <w:divBdr>
        <w:top w:val="none" w:sz="0" w:space="0" w:color="auto"/>
        <w:left w:val="none" w:sz="0" w:space="0" w:color="auto"/>
        <w:bottom w:val="none" w:sz="0" w:space="0" w:color="auto"/>
        <w:right w:val="none" w:sz="0" w:space="0" w:color="auto"/>
      </w:divBdr>
    </w:div>
    <w:div w:id="9451652">
      <w:bodyDiv w:val="1"/>
      <w:marLeft w:val="0"/>
      <w:marRight w:val="0"/>
      <w:marTop w:val="0"/>
      <w:marBottom w:val="0"/>
      <w:divBdr>
        <w:top w:val="none" w:sz="0" w:space="0" w:color="auto"/>
        <w:left w:val="none" w:sz="0" w:space="0" w:color="auto"/>
        <w:bottom w:val="none" w:sz="0" w:space="0" w:color="auto"/>
        <w:right w:val="none" w:sz="0" w:space="0" w:color="auto"/>
      </w:divBdr>
    </w:div>
    <w:div w:id="9576757">
      <w:bodyDiv w:val="1"/>
      <w:marLeft w:val="0"/>
      <w:marRight w:val="0"/>
      <w:marTop w:val="0"/>
      <w:marBottom w:val="0"/>
      <w:divBdr>
        <w:top w:val="none" w:sz="0" w:space="0" w:color="auto"/>
        <w:left w:val="none" w:sz="0" w:space="0" w:color="auto"/>
        <w:bottom w:val="none" w:sz="0" w:space="0" w:color="auto"/>
        <w:right w:val="none" w:sz="0" w:space="0" w:color="auto"/>
      </w:divBdr>
    </w:div>
    <w:div w:id="12457434">
      <w:bodyDiv w:val="1"/>
      <w:marLeft w:val="0"/>
      <w:marRight w:val="0"/>
      <w:marTop w:val="0"/>
      <w:marBottom w:val="0"/>
      <w:divBdr>
        <w:top w:val="none" w:sz="0" w:space="0" w:color="auto"/>
        <w:left w:val="none" w:sz="0" w:space="0" w:color="auto"/>
        <w:bottom w:val="none" w:sz="0" w:space="0" w:color="auto"/>
        <w:right w:val="none" w:sz="0" w:space="0" w:color="auto"/>
      </w:divBdr>
    </w:div>
    <w:div w:id="15813072">
      <w:bodyDiv w:val="1"/>
      <w:marLeft w:val="0"/>
      <w:marRight w:val="0"/>
      <w:marTop w:val="0"/>
      <w:marBottom w:val="0"/>
      <w:divBdr>
        <w:top w:val="none" w:sz="0" w:space="0" w:color="auto"/>
        <w:left w:val="none" w:sz="0" w:space="0" w:color="auto"/>
        <w:bottom w:val="none" w:sz="0" w:space="0" w:color="auto"/>
        <w:right w:val="none" w:sz="0" w:space="0" w:color="auto"/>
      </w:divBdr>
    </w:div>
    <w:div w:id="16854507">
      <w:bodyDiv w:val="1"/>
      <w:marLeft w:val="0"/>
      <w:marRight w:val="0"/>
      <w:marTop w:val="0"/>
      <w:marBottom w:val="0"/>
      <w:divBdr>
        <w:top w:val="none" w:sz="0" w:space="0" w:color="auto"/>
        <w:left w:val="none" w:sz="0" w:space="0" w:color="auto"/>
        <w:bottom w:val="none" w:sz="0" w:space="0" w:color="auto"/>
        <w:right w:val="none" w:sz="0" w:space="0" w:color="auto"/>
      </w:divBdr>
    </w:div>
    <w:div w:id="21246210">
      <w:bodyDiv w:val="1"/>
      <w:marLeft w:val="0"/>
      <w:marRight w:val="0"/>
      <w:marTop w:val="0"/>
      <w:marBottom w:val="0"/>
      <w:divBdr>
        <w:top w:val="none" w:sz="0" w:space="0" w:color="auto"/>
        <w:left w:val="none" w:sz="0" w:space="0" w:color="auto"/>
        <w:bottom w:val="none" w:sz="0" w:space="0" w:color="auto"/>
        <w:right w:val="none" w:sz="0" w:space="0" w:color="auto"/>
      </w:divBdr>
    </w:div>
    <w:div w:id="22052674">
      <w:bodyDiv w:val="1"/>
      <w:marLeft w:val="0"/>
      <w:marRight w:val="0"/>
      <w:marTop w:val="0"/>
      <w:marBottom w:val="0"/>
      <w:divBdr>
        <w:top w:val="none" w:sz="0" w:space="0" w:color="auto"/>
        <w:left w:val="none" w:sz="0" w:space="0" w:color="auto"/>
        <w:bottom w:val="none" w:sz="0" w:space="0" w:color="auto"/>
        <w:right w:val="none" w:sz="0" w:space="0" w:color="auto"/>
      </w:divBdr>
    </w:div>
    <w:div w:id="22825353">
      <w:bodyDiv w:val="1"/>
      <w:marLeft w:val="0"/>
      <w:marRight w:val="0"/>
      <w:marTop w:val="0"/>
      <w:marBottom w:val="0"/>
      <w:divBdr>
        <w:top w:val="none" w:sz="0" w:space="0" w:color="auto"/>
        <w:left w:val="none" w:sz="0" w:space="0" w:color="auto"/>
        <w:bottom w:val="none" w:sz="0" w:space="0" w:color="auto"/>
        <w:right w:val="none" w:sz="0" w:space="0" w:color="auto"/>
      </w:divBdr>
    </w:div>
    <w:div w:id="23530172">
      <w:bodyDiv w:val="1"/>
      <w:marLeft w:val="0"/>
      <w:marRight w:val="0"/>
      <w:marTop w:val="0"/>
      <w:marBottom w:val="0"/>
      <w:divBdr>
        <w:top w:val="none" w:sz="0" w:space="0" w:color="auto"/>
        <w:left w:val="none" w:sz="0" w:space="0" w:color="auto"/>
        <w:bottom w:val="none" w:sz="0" w:space="0" w:color="auto"/>
        <w:right w:val="none" w:sz="0" w:space="0" w:color="auto"/>
      </w:divBdr>
    </w:div>
    <w:div w:id="26681975">
      <w:bodyDiv w:val="1"/>
      <w:marLeft w:val="0"/>
      <w:marRight w:val="0"/>
      <w:marTop w:val="0"/>
      <w:marBottom w:val="0"/>
      <w:divBdr>
        <w:top w:val="none" w:sz="0" w:space="0" w:color="auto"/>
        <w:left w:val="none" w:sz="0" w:space="0" w:color="auto"/>
        <w:bottom w:val="none" w:sz="0" w:space="0" w:color="auto"/>
        <w:right w:val="none" w:sz="0" w:space="0" w:color="auto"/>
      </w:divBdr>
    </w:div>
    <w:div w:id="27337329">
      <w:bodyDiv w:val="1"/>
      <w:marLeft w:val="0"/>
      <w:marRight w:val="0"/>
      <w:marTop w:val="0"/>
      <w:marBottom w:val="0"/>
      <w:divBdr>
        <w:top w:val="none" w:sz="0" w:space="0" w:color="auto"/>
        <w:left w:val="none" w:sz="0" w:space="0" w:color="auto"/>
        <w:bottom w:val="none" w:sz="0" w:space="0" w:color="auto"/>
        <w:right w:val="none" w:sz="0" w:space="0" w:color="auto"/>
      </w:divBdr>
    </w:div>
    <w:div w:id="28536681">
      <w:bodyDiv w:val="1"/>
      <w:marLeft w:val="0"/>
      <w:marRight w:val="0"/>
      <w:marTop w:val="0"/>
      <w:marBottom w:val="0"/>
      <w:divBdr>
        <w:top w:val="none" w:sz="0" w:space="0" w:color="auto"/>
        <w:left w:val="none" w:sz="0" w:space="0" w:color="auto"/>
        <w:bottom w:val="none" w:sz="0" w:space="0" w:color="auto"/>
        <w:right w:val="none" w:sz="0" w:space="0" w:color="auto"/>
      </w:divBdr>
    </w:div>
    <w:div w:id="29115322">
      <w:bodyDiv w:val="1"/>
      <w:marLeft w:val="0"/>
      <w:marRight w:val="0"/>
      <w:marTop w:val="0"/>
      <w:marBottom w:val="0"/>
      <w:divBdr>
        <w:top w:val="none" w:sz="0" w:space="0" w:color="auto"/>
        <w:left w:val="none" w:sz="0" w:space="0" w:color="auto"/>
        <w:bottom w:val="none" w:sz="0" w:space="0" w:color="auto"/>
        <w:right w:val="none" w:sz="0" w:space="0" w:color="auto"/>
      </w:divBdr>
    </w:div>
    <w:div w:id="35157158">
      <w:bodyDiv w:val="1"/>
      <w:marLeft w:val="0"/>
      <w:marRight w:val="0"/>
      <w:marTop w:val="0"/>
      <w:marBottom w:val="0"/>
      <w:divBdr>
        <w:top w:val="none" w:sz="0" w:space="0" w:color="auto"/>
        <w:left w:val="none" w:sz="0" w:space="0" w:color="auto"/>
        <w:bottom w:val="none" w:sz="0" w:space="0" w:color="auto"/>
        <w:right w:val="none" w:sz="0" w:space="0" w:color="auto"/>
      </w:divBdr>
    </w:div>
    <w:div w:id="35355232">
      <w:bodyDiv w:val="1"/>
      <w:marLeft w:val="0"/>
      <w:marRight w:val="0"/>
      <w:marTop w:val="0"/>
      <w:marBottom w:val="0"/>
      <w:divBdr>
        <w:top w:val="none" w:sz="0" w:space="0" w:color="auto"/>
        <w:left w:val="none" w:sz="0" w:space="0" w:color="auto"/>
        <w:bottom w:val="none" w:sz="0" w:space="0" w:color="auto"/>
        <w:right w:val="none" w:sz="0" w:space="0" w:color="auto"/>
      </w:divBdr>
    </w:div>
    <w:div w:id="35395883">
      <w:bodyDiv w:val="1"/>
      <w:marLeft w:val="0"/>
      <w:marRight w:val="0"/>
      <w:marTop w:val="0"/>
      <w:marBottom w:val="0"/>
      <w:divBdr>
        <w:top w:val="none" w:sz="0" w:space="0" w:color="auto"/>
        <w:left w:val="none" w:sz="0" w:space="0" w:color="auto"/>
        <w:bottom w:val="none" w:sz="0" w:space="0" w:color="auto"/>
        <w:right w:val="none" w:sz="0" w:space="0" w:color="auto"/>
      </w:divBdr>
    </w:div>
    <w:div w:id="39482004">
      <w:bodyDiv w:val="1"/>
      <w:marLeft w:val="0"/>
      <w:marRight w:val="0"/>
      <w:marTop w:val="0"/>
      <w:marBottom w:val="0"/>
      <w:divBdr>
        <w:top w:val="none" w:sz="0" w:space="0" w:color="auto"/>
        <w:left w:val="none" w:sz="0" w:space="0" w:color="auto"/>
        <w:bottom w:val="none" w:sz="0" w:space="0" w:color="auto"/>
        <w:right w:val="none" w:sz="0" w:space="0" w:color="auto"/>
      </w:divBdr>
    </w:div>
    <w:div w:id="41057232">
      <w:bodyDiv w:val="1"/>
      <w:marLeft w:val="0"/>
      <w:marRight w:val="0"/>
      <w:marTop w:val="0"/>
      <w:marBottom w:val="0"/>
      <w:divBdr>
        <w:top w:val="none" w:sz="0" w:space="0" w:color="auto"/>
        <w:left w:val="none" w:sz="0" w:space="0" w:color="auto"/>
        <w:bottom w:val="none" w:sz="0" w:space="0" w:color="auto"/>
        <w:right w:val="none" w:sz="0" w:space="0" w:color="auto"/>
      </w:divBdr>
    </w:div>
    <w:div w:id="41442770">
      <w:bodyDiv w:val="1"/>
      <w:marLeft w:val="0"/>
      <w:marRight w:val="0"/>
      <w:marTop w:val="0"/>
      <w:marBottom w:val="0"/>
      <w:divBdr>
        <w:top w:val="none" w:sz="0" w:space="0" w:color="auto"/>
        <w:left w:val="none" w:sz="0" w:space="0" w:color="auto"/>
        <w:bottom w:val="none" w:sz="0" w:space="0" w:color="auto"/>
        <w:right w:val="none" w:sz="0" w:space="0" w:color="auto"/>
      </w:divBdr>
    </w:div>
    <w:div w:id="42145092">
      <w:bodyDiv w:val="1"/>
      <w:marLeft w:val="0"/>
      <w:marRight w:val="0"/>
      <w:marTop w:val="0"/>
      <w:marBottom w:val="0"/>
      <w:divBdr>
        <w:top w:val="none" w:sz="0" w:space="0" w:color="auto"/>
        <w:left w:val="none" w:sz="0" w:space="0" w:color="auto"/>
        <w:bottom w:val="none" w:sz="0" w:space="0" w:color="auto"/>
        <w:right w:val="none" w:sz="0" w:space="0" w:color="auto"/>
      </w:divBdr>
    </w:div>
    <w:div w:id="42681148">
      <w:bodyDiv w:val="1"/>
      <w:marLeft w:val="0"/>
      <w:marRight w:val="0"/>
      <w:marTop w:val="0"/>
      <w:marBottom w:val="0"/>
      <w:divBdr>
        <w:top w:val="none" w:sz="0" w:space="0" w:color="auto"/>
        <w:left w:val="none" w:sz="0" w:space="0" w:color="auto"/>
        <w:bottom w:val="none" w:sz="0" w:space="0" w:color="auto"/>
        <w:right w:val="none" w:sz="0" w:space="0" w:color="auto"/>
      </w:divBdr>
    </w:div>
    <w:div w:id="43220873">
      <w:bodyDiv w:val="1"/>
      <w:marLeft w:val="0"/>
      <w:marRight w:val="0"/>
      <w:marTop w:val="0"/>
      <w:marBottom w:val="0"/>
      <w:divBdr>
        <w:top w:val="none" w:sz="0" w:space="0" w:color="auto"/>
        <w:left w:val="none" w:sz="0" w:space="0" w:color="auto"/>
        <w:bottom w:val="none" w:sz="0" w:space="0" w:color="auto"/>
        <w:right w:val="none" w:sz="0" w:space="0" w:color="auto"/>
      </w:divBdr>
    </w:div>
    <w:div w:id="44106316">
      <w:bodyDiv w:val="1"/>
      <w:marLeft w:val="0"/>
      <w:marRight w:val="0"/>
      <w:marTop w:val="0"/>
      <w:marBottom w:val="0"/>
      <w:divBdr>
        <w:top w:val="none" w:sz="0" w:space="0" w:color="auto"/>
        <w:left w:val="none" w:sz="0" w:space="0" w:color="auto"/>
        <w:bottom w:val="none" w:sz="0" w:space="0" w:color="auto"/>
        <w:right w:val="none" w:sz="0" w:space="0" w:color="auto"/>
      </w:divBdr>
    </w:div>
    <w:div w:id="45181483">
      <w:bodyDiv w:val="1"/>
      <w:marLeft w:val="0"/>
      <w:marRight w:val="0"/>
      <w:marTop w:val="0"/>
      <w:marBottom w:val="0"/>
      <w:divBdr>
        <w:top w:val="none" w:sz="0" w:space="0" w:color="auto"/>
        <w:left w:val="none" w:sz="0" w:space="0" w:color="auto"/>
        <w:bottom w:val="none" w:sz="0" w:space="0" w:color="auto"/>
        <w:right w:val="none" w:sz="0" w:space="0" w:color="auto"/>
      </w:divBdr>
    </w:div>
    <w:div w:id="47993258">
      <w:bodyDiv w:val="1"/>
      <w:marLeft w:val="0"/>
      <w:marRight w:val="0"/>
      <w:marTop w:val="0"/>
      <w:marBottom w:val="0"/>
      <w:divBdr>
        <w:top w:val="none" w:sz="0" w:space="0" w:color="auto"/>
        <w:left w:val="none" w:sz="0" w:space="0" w:color="auto"/>
        <w:bottom w:val="none" w:sz="0" w:space="0" w:color="auto"/>
        <w:right w:val="none" w:sz="0" w:space="0" w:color="auto"/>
      </w:divBdr>
    </w:div>
    <w:div w:id="50807078">
      <w:bodyDiv w:val="1"/>
      <w:marLeft w:val="0"/>
      <w:marRight w:val="0"/>
      <w:marTop w:val="0"/>
      <w:marBottom w:val="0"/>
      <w:divBdr>
        <w:top w:val="none" w:sz="0" w:space="0" w:color="auto"/>
        <w:left w:val="none" w:sz="0" w:space="0" w:color="auto"/>
        <w:bottom w:val="none" w:sz="0" w:space="0" w:color="auto"/>
        <w:right w:val="none" w:sz="0" w:space="0" w:color="auto"/>
      </w:divBdr>
    </w:div>
    <w:div w:id="51198513">
      <w:bodyDiv w:val="1"/>
      <w:marLeft w:val="0"/>
      <w:marRight w:val="0"/>
      <w:marTop w:val="0"/>
      <w:marBottom w:val="0"/>
      <w:divBdr>
        <w:top w:val="none" w:sz="0" w:space="0" w:color="auto"/>
        <w:left w:val="none" w:sz="0" w:space="0" w:color="auto"/>
        <w:bottom w:val="none" w:sz="0" w:space="0" w:color="auto"/>
        <w:right w:val="none" w:sz="0" w:space="0" w:color="auto"/>
      </w:divBdr>
    </w:div>
    <w:div w:id="52194211">
      <w:bodyDiv w:val="1"/>
      <w:marLeft w:val="0"/>
      <w:marRight w:val="0"/>
      <w:marTop w:val="0"/>
      <w:marBottom w:val="0"/>
      <w:divBdr>
        <w:top w:val="none" w:sz="0" w:space="0" w:color="auto"/>
        <w:left w:val="none" w:sz="0" w:space="0" w:color="auto"/>
        <w:bottom w:val="none" w:sz="0" w:space="0" w:color="auto"/>
        <w:right w:val="none" w:sz="0" w:space="0" w:color="auto"/>
      </w:divBdr>
    </w:div>
    <w:div w:id="52429000">
      <w:bodyDiv w:val="1"/>
      <w:marLeft w:val="0"/>
      <w:marRight w:val="0"/>
      <w:marTop w:val="0"/>
      <w:marBottom w:val="0"/>
      <w:divBdr>
        <w:top w:val="none" w:sz="0" w:space="0" w:color="auto"/>
        <w:left w:val="none" w:sz="0" w:space="0" w:color="auto"/>
        <w:bottom w:val="none" w:sz="0" w:space="0" w:color="auto"/>
        <w:right w:val="none" w:sz="0" w:space="0" w:color="auto"/>
      </w:divBdr>
    </w:div>
    <w:div w:id="52581393">
      <w:bodyDiv w:val="1"/>
      <w:marLeft w:val="0"/>
      <w:marRight w:val="0"/>
      <w:marTop w:val="0"/>
      <w:marBottom w:val="0"/>
      <w:divBdr>
        <w:top w:val="none" w:sz="0" w:space="0" w:color="auto"/>
        <w:left w:val="none" w:sz="0" w:space="0" w:color="auto"/>
        <w:bottom w:val="none" w:sz="0" w:space="0" w:color="auto"/>
        <w:right w:val="none" w:sz="0" w:space="0" w:color="auto"/>
      </w:divBdr>
    </w:div>
    <w:div w:id="52822095">
      <w:bodyDiv w:val="1"/>
      <w:marLeft w:val="0"/>
      <w:marRight w:val="0"/>
      <w:marTop w:val="0"/>
      <w:marBottom w:val="0"/>
      <w:divBdr>
        <w:top w:val="none" w:sz="0" w:space="0" w:color="auto"/>
        <w:left w:val="none" w:sz="0" w:space="0" w:color="auto"/>
        <w:bottom w:val="none" w:sz="0" w:space="0" w:color="auto"/>
        <w:right w:val="none" w:sz="0" w:space="0" w:color="auto"/>
      </w:divBdr>
    </w:div>
    <w:div w:id="57942530">
      <w:bodyDiv w:val="1"/>
      <w:marLeft w:val="0"/>
      <w:marRight w:val="0"/>
      <w:marTop w:val="0"/>
      <w:marBottom w:val="0"/>
      <w:divBdr>
        <w:top w:val="none" w:sz="0" w:space="0" w:color="auto"/>
        <w:left w:val="none" w:sz="0" w:space="0" w:color="auto"/>
        <w:bottom w:val="none" w:sz="0" w:space="0" w:color="auto"/>
        <w:right w:val="none" w:sz="0" w:space="0" w:color="auto"/>
      </w:divBdr>
    </w:div>
    <w:div w:id="60951717">
      <w:bodyDiv w:val="1"/>
      <w:marLeft w:val="0"/>
      <w:marRight w:val="0"/>
      <w:marTop w:val="0"/>
      <w:marBottom w:val="0"/>
      <w:divBdr>
        <w:top w:val="none" w:sz="0" w:space="0" w:color="auto"/>
        <w:left w:val="none" w:sz="0" w:space="0" w:color="auto"/>
        <w:bottom w:val="none" w:sz="0" w:space="0" w:color="auto"/>
        <w:right w:val="none" w:sz="0" w:space="0" w:color="auto"/>
      </w:divBdr>
    </w:div>
    <w:div w:id="61371614">
      <w:bodyDiv w:val="1"/>
      <w:marLeft w:val="0"/>
      <w:marRight w:val="0"/>
      <w:marTop w:val="0"/>
      <w:marBottom w:val="0"/>
      <w:divBdr>
        <w:top w:val="none" w:sz="0" w:space="0" w:color="auto"/>
        <w:left w:val="none" w:sz="0" w:space="0" w:color="auto"/>
        <w:bottom w:val="none" w:sz="0" w:space="0" w:color="auto"/>
        <w:right w:val="none" w:sz="0" w:space="0" w:color="auto"/>
      </w:divBdr>
    </w:div>
    <w:div w:id="61489406">
      <w:bodyDiv w:val="1"/>
      <w:marLeft w:val="0"/>
      <w:marRight w:val="0"/>
      <w:marTop w:val="0"/>
      <w:marBottom w:val="0"/>
      <w:divBdr>
        <w:top w:val="none" w:sz="0" w:space="0" w:color="auto"/>
        <w:left w:val="none" w:sz="0" w:space="0" w:color="auto"/>
        <w:bottom w:val="none" w:sz="0" w:space="0" w:color="auto"/>
        <w:right w:val="none" w:sz="0" w:space="0" w:color="auto"/>
      </w:divBdr>
    </w:div>
    <w:div w:id="61491955">
      <w:bodyDiv w:val="1"/>
      <w:marLeft w:val="0"/>
      <w:marRight w:val="0"/>
      <w:marTop w:val="0"/>
      <w:marBottom w:val="0"/>
      <w:divBdr>
        <w:top w:val="none" w:sz="0" w:space="0" w:color="auto"/>
        <w:left w:val="none" w:sz="0" w:space="0" w:color="auto"/>
        <w:bottom w:val="none" w:sz="0" w:space="0" w:color="auto"/>
        <w:right w:val="none" w:sz="0" w:space="0" w:color="auto"/>
      </w:divBdr>
    </w:div>
    <w:div w:id="62874694">
      <w:bodyDiv w:val="1"/>
      <w:marLeft w:val="0"/>
      <w:marRight w:val="0"/>
      <w:marTop w:val="0"/>
      <w:marBottom w:val="0"/>
      <w:divBdr>
        <w:top w:val="none" w:sz="0" w:space="0" w:color="auto"/>
        <w:left w:val="none" w:sz="0" w:space="0" w:color="auto"/>
        <w:bottom w:val="none" w:sz="0" w:space="0" w:color="auto"/>
        <w:right w:val="none" w:sz="0" w:space="0" w:color="auto"/>
      </w:divBdr>
    </w:div>
    <w:div w:id="63265303">
      <w:bodyDiv w:val="1"/>
      <w:marLeft w:val="0"/>
      <w:marRight w:val="0"/>
      <w:marTop w:val="0"/>
      <w:marBottom w:val="0"/>
      <w:divBdr>
        <w:top w:val="none" w:sz="0" w:space="0" w:color="auto"/>
        <w:left w:val="none" w:sz="0" w:space="0" w:color="auto"/>
        <w:bottom w:val="none" w:sz="0" w:space="0" w:color="auto"/>
        <w:right w:val="none" w:sz="0" w:space="0" w:color="auto"/>
      </w:divBdr>
    </w:div>
    <w:div w:id="66198813">
      <w:bodyDiv w:val="1"/>
      <w:marLeft w:val="0"/>
      <w:marRight w:val="0"/>
      <w:marTop w:val="0"/>
      <w:marBottom w:val="0"/>
      <w:divBdr>
        <w:top w:val="none" w:sz="0" w:space="0" w:color="auto"/>
        <w:left w:val="none" w:sz="0" w:space="0" w:color="auto"/>
        <w:bottom w:val="none" w:sz="0" w:space="0" w:color="auto"/>
        <w:right w:val="none" w:sz="0" w:space="0" w:color="auto"/>
      </w:divBdr>
    </w:div>
    <w:div w:id="67652518">
      <w:bodyDiv w:val="1"/>
      <w:marLeft w:val="0"/>
      <w:marRight w:val="0"/>
      <w:marTop w:val="0"/>
      <w:marBottom w:val="0"/>
      <w:divBdr>
        <w:top w:val="none" w:sz="0" w:space="0" w:color="auto"/>
        <w:left w:val="none" w:sz="0" w:space="0" w:color="auto"/>
        <w:bottom w:val="none" w:sz="0" w:space="0" w:color="auto"/>
        <w:right w:val="none" w:sz="0" w:space="0" w:color="auto"/>
      </w:divBdr>
    </w:div>
    <w:div w:id="75134547">
      <w:bodyDiv w:val="1"/>
      <w:marLeft w:val="0"/>
      <w:marRight w:val="0"/>
      <w:marTop w:val="0"/>
      <w:marBottom w:val="0"/>
      <w:divBdr>
        <w:top w:val="none" w:sz="0" w:space="0" w:color="auto"/>
        <w:left w:val="none" w:sz="0" w:space="0" w:color="auto"/>
        <w:bottom w:val="none" w:sz="0" w:space="0" w:color="auto"/>
        <w:right w:val="none" w:sz="0" w:space="0" w:color="auto"/>
      </w:divBdr>
    </w:div>
    <w:div w:id="76833254">
      <w:bodyDiv w:val="1"/>
      <w:marLeft w:val="0"/>
      <w:marRight w:val="0"/>
      <w:marTop w:val="0"/>
      <w:marBottom w:val="0"/>
      <w:divBdr>
        <w:top w:val="none" w:sz="0" w:space="0" w:color="auto"/>
        <w:left w:val="none" w:sz="0" w:space="0" w:color="auto"/>
        <w:bottom w:val="none" w:sz="0" w:space="0" w:color="auto"/>
        <w:right w:val="none" w:sz="0" w:space="0" w:color="auto"/>
      </w:divBdr>
    </w:div>
    <w:div w:id="77873908">
      <w:bodyDiv w:val="1"/>
      <w:marLeft w:val="0"/>
      <w:marRight w:val="0"/>
      <w:marTop w:val="0"/>
      <w:marBottom w:val="0"/>
      <w:divBdr>
        <w:top w:val="none" w:sz="0" w:space="0" w:color="auto"/>
        <w:left w:val="none" w:sz="0" w:space="0" w:color="auto"/>
        <w:bottom w:val="none" w:sz="0" w:space="0" w:color="auto"/>
        <w:right w:val="none" w:sz="0" w:space="0" w:color="auto"/>
      </w:divBdr>
    </w:div>
    <w:div w:id="82339919">
      <w:bodyDiv w:val="1"/>
      <w:marLeft w:val="0"/>
      <w:marRight w:val="0"/>
      <w:marTop w:val="0"/>
      <w:marBottom w:val="0"/>
      <w:divBdr>
        <w:top w:val="none" w:sz="0" w:space="0" w:color="auto"/>
        <w:left w:val="none" w:sz="0" w:space="0" w:color="auto"/>
        <w:bottom w:val="none" w:sz="0" w:space="0" w:color="auto"/>
        <w:right w:val="none" w:sz="0" w:space="0" w:color="auto"/>
      </w:divBdr>
    </w:div>
    <w:div w:id="82454447">
      <w:bodyDiv w:val="1"/>
      <w:marLeft w:val="0"/>
      <w:marRight w:val="0"/>
      <w:marTop w:val="0"/>
      <w:marBottom w:val="0"/>
      <w:divBdr>
        <w:top w:val="none" w:sz="0" w:space="0" w:color="auto"/>
        <w:left w:val="none" w:sz="0" w:space="0" w:color="auto"/>
        <w:bottom w:val="none" w:sz="0" w:space="0" w:color="auto"/>
        <w:right w:val="none" w:sz="0" w:space="0" w:color="auto"/>
      </w:divBdr>
    </w:div>
    <w:div w:id="84956226">
      <w:bodyDiv w:val="1"/>
      <w:marLeft w:val="0"/>
      <w:marRight w:val="0"/>
      <w:marTop w:val="0"/>
      <w:marBottom w:val="0"/>
      <w:divBdr>
        <w:top w:val="none" w:sz="0" w:space="0" w:color="auto"/>
        <w:left w:val="none" w:sz="0" w:space="0" w:color="auto"/>
        <w:bottom w:val="none" w:sz="0" w:space="0" w:color="auto"/>
        <w:right w:val="none" w:sz="0" w:space="0" w:color="auto"/>
      </w:divBdr>
    </w:div>
    <w:div w:id="86850373">
      <w:bodyDiv w:val="1"/>
      <w:marLeft w:val="0"/>
      <w:marRight w:val="0"/>
      <w:marTop w:val="0"/>
      <w:marBottom w:val="0"/>
      <w:divBdr>
        <w:top w:val="none" w:sz="0" w:space="0" w:color="auto"/>
        <w:left w:val="none" w:sz="0" w:space="0" w:color="auto"/>
        <w:bottom w:val="none" w:sz="0" w:space="0" w:color="auto"/>
        <w:right w:val="none" w:sz="0" w:space="0" w:color="auto"/>
      </w:divBdr>
    </w:div>
    <w:div w:id="90443644">
      <w:bodyDiv w:val="1"/>
      <w:marLeft w:val="0"/>
      <w:marRight w:val="0"/>
      <w:marTop w:val="0"/>
      <w:marBottom w:val="0"/>
      <w:divBdr>
        <w:top w:val="none" w:sz="0" w:space="0" w:color="auto"/>
        <w:left w:val="none" w:sz="0" w:space="0" w:color="auto"/>
        <w:bottom w:val="none" w:sz="0" w:space="0" w:color="auto"/>
        <w:right w:val="none" w:sz="0" w:space="0" w:color="auto"/>
      </w:divBdr>
    </w:div>
    <w:div w:id="92366539">
      <w:bodyDiv w:val="1"/>
      <w:marLeft w:val="0"/>
      <w:marRight w:val="0"/>
      <w:marTop w:val="0"/>
      <w:marBottom w:val="0"/>
      <w:divBdr>
        <w:top w:val="none" w:sz="0" w:space="0" w:color="auto"/>
        <w:left w:val="none" w:sz="0" w:space="0" w:color="auto"/>
        <w:bottom w:val="none" w:sz="0" w:space="0" w:color="auto"/>
        <w:right w:val="none" w:sz="0" w:space="0" w:color="auto"/>
      </w:divBdr>
    </w:div>
    <w:div w:id="92676687">
      <w:bodyDiv w:val="1"/>
      <w:marLeft w:val="0"/>
      <w:marRight w:val="0"/>
      <w:marTop w:val="0"/>
      <w:marBottom w:val="0"/>
      <w:divBdr>
        <w:top w:val="none" w:sz="0" w:space="0" w:color="auto"/>
        <w:left w:val="none" w:sz="0" w:space="0" w:color="auto"/>
        <w:bottom w:val="none" w:sz="0" w:space="0" w:color="auto"/>
        <w:right w:val="none" w:sz="0" w:space="0" w:color="auto"/>
      </w:divBdr>
    </w:div>
    <w:div w:id="95100459">
      <w:bodyDiv w:val="1"/>
      <w:marLeft w:val="0"/>
      <w:marRight w:val="0"/>
      <w:marTop w:val="0"/>
      <w:marBottom w:val="0"/>
      <w:divBdr>
        <w:top w:val="none" w:sz="0" w:space="0" w:color="auto"/>
        <w:left w:val="none" w:sz="0" w:space="0" w:color="auto"/>
        <w:bottom w:val="none" w:sz="0" w:space="0" w:color="auto"/>
        <w:right w:val="none" w:sz="0" w:space="0" w:color="auto"/>
      </w:divBdr>
    </w:div>
    <w:div w:id="96341083">
      <w:bodyDiv w:val="1"/>
      <w:marLeft w:val="0"/>
      <w:marRight w:val="0"/>
      <w:marTop w:val="0"/>
      <w:marBottom w:val="0"/>
      <w:divBdr>
        <w:top w:val="none" w:sz="0" w:space="0" w:color="auto"/>
        <w:left w:val="none" w:sz="0" w:space="0" w:color="auto"/>
        <w:bottom w:val="none" w:sz="0" w:space="0" w:color="auto"/>
        <w:right w:val="none" w:sz="0" w:space="0" w:color="auto"/>
      </w:divBdr>
    </w:div>
    <w:div w:id="97458232">
      <w:bodyDiv w:val="1"/>
      <w:marLeft w:val="0"/>
      <w:marRight w:val="0"/>
      <w:marTop w:val="0"/>
      <w:marBottom w:val="0"/>
      <w:divBdr>
        <w:top w:val="none" w:sz="0" w:space="0" w:color="auto"/>
        <w:left w:val="none" w:sz="0" w:space="0" w:color="auto"/>
        <w:bottom w:val="none" w:sz="0" w:space="0" w:color="auto"/>
        <w:right w:val="none" w:sz="0" w:space="0" w:color="auto"/>
      </w:divBdr>
    </w:div>
    <w:div w:id="99960295">
      <w:bodyDiv w:val="1"/>
      <w:marLeft w:val="0"/>
      <w:marRight w:val="0"/>
      <w:marTop w:val="0"/>
      <w:marBottom w:val="0"/>
      <w:divBdr>
        <w:top w:val="none" w:sz="0" w:space="0" w:color="auto"/>
        <w:left w:val="none" w:sz="0" w:space="0" w:color="auto"/>
        <w:bottom w:val="none" w:sz="0" w:space="0" w:color="auto"/>
        <w:right w:val="none" w:sz="0" w:space="0" w:color="auto"/>
      </w:divBdr>
    </w:div>
    <w:div w:id="100881684">
      <w:bodyDiv w:val="1"/>
      <w:marLeft w:val="0"/>
      <w:marRight w:val="0"/>
      <w:marTop w:val="0"/>
      <w:marBottom w:val="0"/>
      <w:divBdr>
        <w:top w:val="none" w:sz="0" w:space="0" w:color="auto"/>
        <w:left w:val="none" w:sz="0" w:space="0" w:color="auto"/>
        <w:bottom w:val="none" w:sz="0" w:space="0" w:color="auto"/>
        <w:right w:val="none" w:sz="0" w:space="0" w:color="auto"/>
      </w:divBdr>
    </w:div>
    <w:div w:id="101194222">
      <w:bodyDiv w:val="1"/>
      <w:marLeft w:val="0"/>
      <w:marRight w:val="0"/>
      <w:marTop w:val="0"/>
      <w:marBottom w:val="0"/>
      <w:divBdr>
        <w:top w:val="none" w:sz="0" w:space="0" w:color="auto"/>
        <w:left w:val="none" w:sz="0" w:space="0" w:color="auto"/>
        <w:bottom w:val="none" w:sz="0" w:space="0" w:color="auto"/>
        <w:right w:val="none" w:sz="0" w:space="0" w:color="auto"/>
      </w:divBdr>
    </w:div>
    <w:div w:id="102043378">
      <w:bodyDiv w:val="1"/>
      <w:marLeft w:val="0"/>
      <w:marRight w:val="0"/>
      <w:marTop w:val="0"/>
      <w:marBottom w:val="0"/>
      <w:divBdr>
        <w:top w:val="none" w:sz="0" w:space="0" w:color="auto"/>
        <w:left w:val="none" w:sz="0" w:space="0" w:color="auto"/>
        <w:bottom w:val="none" w:sz="0" w:space="0" w:color="auto"/>
        <w:right w:val="none" w:sz="0" w:space="0" w:color="auto"/>
      </w:divBdr>
    </w:div>
    <w:div w:id="106703204">
      <w:bodyDiv w:val="1"/>
      <w:marLeft w:val="0"/>
      <w:marRight w:val="0"/>
      <w:marTop w:val="0"/>
      <w:marBottom w:val="0"/>
      <w:divBdr>
        <w:top w:val="none" w:sz="0" w:space="0" w:color="auto"/>
        <w:left w:val="none" w:sz="0" w:space="0" w:color="auto"/>
        <w:bottom w:val="none" w:sz="0" w:space="0" w:color="auto"/>
        <w:right w:val="none" w:sz="0" w:space="0" w:color="auto"/>
      </w:divBdr>
    </w:div>
    <w:div w:id="109785874">
      <w:bodyDiv w:val="1"/>
      <w:marLeft w:val="0"/>
      <w:marRight w:val="0"/>
      <w:marTop w:val="0"/>
      <w:marBottom w:val="0"/>
      <w:divBdr>
        <w:top w:val="none" w:sz="0" w:space="0" w:color="auto"/>
        <w:left w:val="none" w:sz="0" w:space="0" w:color="auto"/>
        <w:bottom w:val="none" w:sz="0" w:space="0" w:color="auto"/>
        <w:right w:val="none" w:sz="0" w:space="0" w:color="auto"/>
      </w:divBdr>
    </w:div>
    <w:div w:id="110826367">
      <w:bodyDiv w:val="1"/>
      <w:marLeft w:val="0"/>
      <w:marRight w:val="0"/>
      <w:marTop w:val="0"/>
      <w:marBottom w:val="0"/>
      <w:divBdr>
        <w:top w:val="none" w:sz="0" w:space="0" w:color="auto"/>
        <w:left w:val="none" w:sz="0" w:space="0" w:color="auto"/>
        <w:bottom w:val="none" w:sz="0" w:space="0" w:color="auto"/>
        <w:right w:val="none" w:sz="0" w:space="0" w:color="auto"/>
      </w:divBdr>
    </w:div>
    <w:div w:id="112948613">
      <w:bodyDiv w:val="1"/>
      <w:marLeft w:val="0"/>
      <w:marRight w:val="0"/>
      <w:marTop w:val="0"/>
      <w:marBottom w:val="0"/>
      <w:divBdr>
        <w:top w:val="none" w:sz="0" w:space="0" w:color="auto"/>
        <w:left w:val="none" w:sz="0" w:space="0" w:color="auto"/>
        <w:bottom w:val="none" w:sz="0" w:space="0" w:color="auto"/>
        <w:right w:val="none" w:sz="0" w:space="0" w:color="auto"/>
      </w:divBdr>
    </w:div>
    <w:div w:id="116343204">
      <w:bodyDiv w:val="1"/>
      <w:marLeft w:val="0"/>
      <w:marRight w:val="0"/>
      <w:marTop w:val="0"/>
      <w:marBottom w:val="0"/>
      <w:divBdr>
        <w:top w:val="none" w:sz="0" w:space="0" w:color="auto"/>
        <w:left w:val="none" w:sz="0" w:space="0" w:color="auto"/>
        <w:bottom w:val="none" w:sz="0" w:space="0" w:color="auto"/>
        <w:right w:val="none" w:sz="0" w:space="0" w:color="auto"/>
      </w:divBdr>
    </w:div>
    <w:div w:id="116801666">
      <w:bodyDiv w:val="1"/>
      <w:marLeft w:val="0"/>
      <w:marRight w:val="0"/>
      <w:marTop w:val="0"/>
      <w:marBottom w:val="0"/>
      <w:divBdr>
        <w:top w:val="none" w:sz="0" w:space="0" w:color="auto"/>
        <w:left w:val="none" w:sz="0" w:space="0" w:color="auto"/>
        <w:bottom w:val="none" w:sz="0" w:space="0" w:color="auto"/>
        <w:right w:val="none" w:sz="0" w:space="0" w:color="auto"/>
      </w:divBdr>
    </w:div>
    <w:div w:id="117069978">
      <w:bodyDiv w:val="1"/>
      <w:marLeft w:val="0"/>
      <w:marRight w:val="0"/>
      <w:marTop w:val="0"/>
      <w:marBottom w:val="0"/>
      <w:divBdr>
        <w:top w:val="none" w:sz="0" w:space="0" w:color="auto"/>
        <w:left w:val="none" w:sz="0" w:space="0" w:color="auto"/>
        <w:bottom w:val="none" w:sz="0" w:space="0" w:color="auto"/>
        <w:right w:val="none" w:sz="0" w:space="0" w:color="auto"/>
      </w:divBdr>
    </w:div>
    <w:div w:id="125664889">
      <w:bodyDiv w:val="1"/>
      <w:marLeft w:val="0"/>
      <w:marRight w:val="0"/>
      <w:marTop w:val="0"/>
      <w:marBottom w:val="0"/>
      <w:divBdr>
        <w:top w:val="none" w:sz="0" w:space="0" w:color="auto"/>
        <w:left w:val="none" w:sz="0" w:space="0" w:color="auto"/>
        <w:bottom w:val="none" w:sz="0" w:space="0" w:color="auto"/>
        <w:right w:val="none" w:sz="0" w:space="0" w:color="auto"/>
      </w:divBdr>
    </w:div>
    <w:div w:id="125702187">
      <w:bodyDiv w:val="1"/>
      <w:marLeft w:val="0"/>
      <w:marRight w:val="0"/>
      <w:marTop w:val="0"/>
      <w:marBottom w:val="0"/>
      <w:divBdr>
        <w:top w:val="none" w:sz="0" w:space="0" w:color="auto"/>
        <w:left w:val="none" w:sz="0" w:space="0" w:color="auto"/>
        <w:bottom w:val="none" w:sz="0" w:space="0" w:color="auto"/>
        <w:right w:val="none" w:sz="0" w:space="0" w:color="auto"/>
      </w:divBdr>
    </w:div>
    <w:div w:id="127625381">
      <w:bodyDiv w:val="1"/>
      <w:marLeft w:val="0"/>
      <w:marRight w:val="0"/>
      <w:marTop w:val="0"/>
      <w:marBottom w:val="0"/>
      <w:divBdr>
        <w:top w:val="none" w:sz="0" w:space="0" w:color="auto"/>
        <w:left w:val="none" w:sz="0" w:space="0" w:color="auto"/>
        <w:bottom w:val="none" w:sz="0" w:space="0" w:color="auto"/>
        <w:right w:val="none" w:sz="0" w:space="0" w:color="auto"/>
      </w:divBdr>
    </w:div>
    <w:div w:id="127938011">
      <w:bodyDiv w:val="1"/>
      <w:marLeft w:val="0"/>
      <w:marRight w:val="0"/>
      <w:marTop w:val="0"/>
      <w:marBottom w:val="0"/>
      <w:divBdr>
        <w:top w:val="none" w:sz="0" w:space="0" w:color="auto"/>
        <w:left w:val="none" w:sz="0" w:space="0" w:color="auto"/>
        <w:bottom w:val="none" w:sz="0" w:space="0" w:color="auto"/>
        <w:right w:val="none" w:sz="0" w:space="0" w:color="auto"/>
      </w:divBdr>
    </w:div>
    <w:div w:id="135493107">
      <w:bodyDiv w:val="1"/>
      <w:marLeft w:val="0"/>
      <w:marRight w:val="0"/>
      <w:marTop w:val="0"/>
      <w:marBottom w:val="0"/>
      <w:divBdr>
        <w:top w:val="none" w:sz="0" w:space="0" w:color="auto"/>
        <w:left w:val="none" w:sz="0" w:space="0" w:color="auto"/>
        <w:bottom w:val="none" w:sz="0" w:space="0" w:color="auto"/>
        <w:right w:val="none" w:sz="0" w:space="0" w:color="auto"/>
      </w:divBdr>
    </w:div>
    <w:div w:id="137455415">
      <w:bodyDiv w:val="1"/>
      <w:marLeft w:val="0"/>
      <w:marRight w:val="0"/>
      <w:marTop w:val="0"/>
      <w:marBottom w:val="0"/>
      <w:divBdr>
        <w:top w:val="none" w:sz="0" w:space="0" w:color="auto"/>
        <w:left w:val="none" w:sz="0" w:space="0" w:color="auto"/>
        <w:bottom w:val="none" w:sz="0" w:space="0" w:color="auto"/>
        <w:right w:val="none" w:sz="0" w:space="0" w:color="auto"/>
      </w:divBdr>
    </w:div>
    <w:div w:id="138305737">
      <w:bodyDiv w:val="1"/>
      <w:marLeft w:val="0"/>
      <w:marRight w:val="0"/>
      <w:marTop w:val="0"/>
      <w:marBottom w:val="0"/>
      <w:divBdr>
        <w:top w:val="none" w:sz="0" w:space="0" w:color="auto"/>
        <w:left w:val="none" w:sz="0" w:space="0" w:color="auto"/>
        <w:bottom w:val="none" w:sz="0" w:space="0" w:color="auto"/>
        <w:right w:val="none" w:sz="0" w:space="0" w:color="auto"/>
      </w:divBdr>
    </w:div>
    <w:div w:id="139539858">
      <w:bodyDiv w:val="1"/>
      <w:marLeft w:val="0"/>
      <w:marRight w:val="0"/>
      <w:marTop w:val="0"/>
      <w:marBottom w:val="0"/>
      <w:divBdr>
        <w:top w:val="none" w:sz="0" w:space="0" w:color="auto"/>
        <w:left w:val="none" w:sz="0" w:space="0" w:color="auto"/>
        <w:bottom w:val="none" w:sz="0" w:space="0" w:color="auto"/>
        <w:right w:val="none" w:sz="0" w:space="0" w:color="auto"/>
      </w:divBdr>
    </w:div>
    <w:div w:id="141391194">
      <w:bodyDiv w:val="1"/>
      <w:marLeft w:val="0"/>
      <w:marRight w:val="0"/>
      <w:marTop w:val="0"/>
      <w:marBottom w:val="0"/>
      <w:divBdr>
        <w:top w:val="none" w:sz="0" w:space="0" w:color="auto"/>
        <w:left w:val="none" w:sz="0" w:space="0" w:color="auto"/>
        <w:bottom w:val="none" w:sz="0" w:space="0" w:color="auto"/>
        <w:right w:val="none" w:sz="0" w:space="0" w:color="auto"/>
      </w:divBdr>
    </w:div>
    <w:div w:id="143817115">
      <w:bodyDiv w:val="1"/>
      <w:marLeft w:val="0"/>
      <w:marRight w:val="0"/>
      <w:marTop w:val="0"/>
      <w:marBottom w:val="0"/>
      <w:divBdr>
        <w:top w:val="none" w:sz="0" w:space="0" w:color="auto"/>
        <w:left w:val="none" w:sz="0" w:space="0" w:color="auto"/>
        <w:bottom w:val="none" w:sz="0" w:space="0" w:color="auto"/>
        <w:right w:val="none" w:sz="0" w:space="0" w:color="auto"/>
      </w:divBdr>
    </w:div>
    <w:div w:id="145366855">
      <w:bodyDiv w:val="1"/>
      <w:marLeft w:val="0"/>
      <w:marRight w:val="0"/>
      <w:marTop w:val="0"/>
      <w:marBottom w:val="0"/>
      <w:divBdr>
        <w:top w:val="none" w:sz="0" w:space="0" w:color="auto"/>
        <w:left w:val="none" w:sz="0" w:space="0" w:color="auto"/>
        <w:bottom w:val="none" w:sz="0" w:space="0" w:color="auto"/>
        <w:right w:val="none" w:sz="0" w:space="0" w:color="auto"/>
      </w:divBdr>
    </w:div>
    <w:div w:id="145367018">
      <w:bodyDiv w:val="1"/>
      <w:marLeft w:val="0"/>
      <w:marRight w:val="0"/>
      <w:marTop w:val="0"/>
      <w:marBottom w:val="0"/>
      <w:divBdr>
        <w:top w:val="none" w:sz="0" w:space="0" w:color="auto"/>
        <w:left w:val="none" w:sz="0" w:space="0" w:color="auto"/>
        <w:bottom w:val="none" w:sz="0" w:space="0" w:color="auto"/>
        <w:right w:val="none" w:sz="0" w:space="0" w:color="auto"/>
      </w:divBdr>
    </w:div>
    <w:div w:id="148181692">
      <w:bodyDiv w:val="1"/>
      <w:marLeft w:val="0"/>
      <w:marRight w:val="0"/>
      <w:marTop w:val="0"/>
      <w:marBottom w:val="0"/>
      <w:divBdr>
        <w:top w:val="none" w:sz="0" w:space="0" w:color="auto"/>
        <w:left w:val="none" w:sz="0" w:space="0" w:color="auto"/>
        <w:bottom w:val="none" w:sz="0" w:space="0" w:color="auto"/>
        <w:right w:val="none" w:sz="0" w:space="0" w:color="auto"/>
      </w:divBdr>
    </w:div>
    <w:div w:id="152796526">
      <w:bodyDiv w:val="1"/>
      <w:marLeft w:val="0"/>
      <w:marRight w:val="0"/>
      <w:marTop w:val="0"/>
      <w:marBottom w:val="0"/>
      <w:divBdr>
        <w:top w:val="none" w:sz="0" w:space="0" w:color="auto"/>
        <w:left w:val="none" w:sz="0" w:space="0" w:color="auto"/>
        <w:bottom w:val="none" w:sz="0" w:space="0" w:color="auto"/>
        <w:right w:val="none" w:sz="0" w:space="0" w:color="auto"/>
      </w:divBdr>
    </w:div>
    <w:div w:id="154690418">
      <w:bodyDiv w:val="1"/>
      <w:marLeft w:val="0"/>
      <w:marRight w:val="0"/>
      <w:marTop w:val="0"/>
      <w:marBottom w:val="0"/>
      <w:divBdr>
        <w:top w:val="none" w:sz="0" w:space="0" w:color="auto"/>
        <w:left w:val="none" w:sz="0" w:space="0" w:color="auto"/>
        <w:bottom w:val="none" w:sz="0" w:space="0" w:color="auto"/>
        <w:right w:val="none" w:sz="0" w:space="0" w:color="auto"/>
      </w:divBdr>
    </w:div>
    <w:div w:id="160900876">
      <w:bodyDiv w:val="1"/>
      <w:marLeft w:val="0"/>
      <w:marRight w:val="0"/>
      <w:marTop w:val="0"/>
      <w:marBottom w:val="0"/>
      <w:divBdr>
        <w:top w:val="none" w:sz="0" w:space="0" w:color="auto"/>
        <w:left w:val="none" w:sz="0" w:space="0" w:color="auto"/>
        <w:bottom w:val="none" w:sz="0" w:space="0" w:color="auto"/>
        <w:right w:val="none" w:sz="0" w:space="0" w:color="auto"/>
      </w:divBdr>
    </w:div>
    <w:div w:id="163905803">
      <w:bodyDiv w:val="1"/>
      <w:marLeft w:val="0"/>
      <w:marRight w:val="0"/>
      <w:marTop w:val="0"/>
      <w:marBottom w:val="0"/>
      <w:divBdr>
        <w:top w:val="none" w:sz="0" w:space="0" w:color="auto"/>
        <w:left w:val="none" w:sz="0" w:space="0" w:color="auto"/>
        <w:bottom w:val="none" w:sz="0" w:space="0" w:color="auto"/>
        <w:right w:val="none" w:sz="0" w:space="0" w:color="auto"/>
      </w:divBdr>
    </w:div>
    <w:div w:id="164168228">
      <w:bodyDiv w:val="1"/>
      <w:marLeft w:val="0"/>
      <w:marRight w:val="0"/>
      <w:marTop w:val="0"/>
      <w:marBottom w:val="0"/>
      <w:divBdr>
        <w:top w:val="none" w:sz="0" w:space="0" w:color="auto"/>
        <w:left w:val="none" w:sz="0" w:space="0" w:color="auto"/>
        <w:bottom w:val="none" w:sz="0" w:space="0" w:color="auto"/>
        <w:right w:val="none" w:sz="0" w:space="0" w:color="auto"/>
      </w:divBdr>
    </w:div>
    <w:div w:id="170877163">
      <w:bodyDiv w:val="1"/>
      <w:marLeft w:val="0"/>
      <w:marRight w:val="0"/>
      <w:marTop w:val="0"/>
      <w:marBottom w:val="0"/>
      <w:divBdr>
        <w:top w:val="none" w:sz="0" w:space="0" w:color="auto"/>
        <w:left w:val="none" w:sz="0" w:space="0" w:color="auto"/>
        <w:bottom w:val="none" w:sz="0" w:space="0" w:color="auto"/>
        <w:right w:val="none" w:sz="0" w:space="0" w:color="auto"/>
      </w:divBdr>
    </w:div>
    <w:div w:id="171533716">
      <w:bodyDiv w:val="1"/>
      <w:marLeft w:val="0"/>
      <w:marRight w:val="0"/>
      <w:marTop w:val="0"/>
      <w:marBottom w:val="0"/>
      <w:divBdr>
        <w:top w:val="none" w:sz="0" w:space="0" w:color="auto"/>
        <w:left w:val="none" w:sz="0" w:space="0" w:color="auto"/>
        <w:bottom w:val="none" w:sz="0" w:space="0" w:color="auto"/>
        <w:right w:val="none" w:sz="0" w:space="0" w:color="auto"/>
      </w:divBdr>
    </w:div>
    <w:div w:id="173424833">
      <w:bodyDiv w:val="1"/>
      <w:marLeft w:val="0"/>
      <w:marRight w:val="0"/>
      <w:marTop w:val="0"/>
      <w:marBottom w:val="0"/>
      <w:divBdr>
        <w:top w:val="none" w:sz="0" w:space="0" w:color="auto"/>
        <w:left w:val="none" w:sz="0" w:space="0" w:color="auto"/>
        <w:bottom w:val="none" w:sz="0" w:space="0" w:color="auto"/>
        <w:right w:val="none" w:sz="0" w:space="0" w:color="auto"/>
      </w:divBdr>
    </w:div>
    <w:div w:id="173497533">
      <w:bodyDiv w:val="1"/>
      <w:marLeft w:val="0"/>
      <w:marRight w:val="0"/>
      <w:marTop w:val="0"/>
      <w:marBottom w:val="0"/>
      <w:divBdr>
        <w:top w:val="none" w:sz="0" w:space="0" w:color="auto"/>
        <w:left w:val="none" w:sz="0" w:space="0" w:color="auto"/>
        <w:bottom w:val="none" w:sz="0" w:space="0" w:color="auto"/>
        <w:right w:val="none" w:sz="0" w:space="0" w:color="auto"/>
      </w:divBdr>
    </w:div>
    <w:div w:id="174151883">
      <w:bodyDiv w:val="1"/>
      <w:marLeft w:val="0"/>
      <w:marRight w:val="0"/>
      <w:marTop w:val="0"/>
      <w:marBottom w:val="0"/>
      <w:divBdr>
        <w:top w:val="none" w:sz="0" w:space="0" w:color="auto"/>
        <w:left w:val="none" w:sz="0" w:space="0" w:color="auto"/>
        <w:bottom w:val="none" w:sz="0" w:space="0" w:color="auto"/>
        <w:right w:val="none" w:sz="0" w:space="0" w:color="auto"/>
      </w:divBdr>
    </w:div>
    <w:div w:id="174925692">
      <w:bodyDiv w:val="1"/>
      <w:marLeft w:val="0"/>
      <w:marRight w:val="0"/>
      <w:marTop w:val="0"/>
      <w:marBottom w:val="0"/>
      <w:divBdr>
        <w:top w:val="none" w:sz="0" w:space="0" w:color="auto"/>
        <w:left w:val="none" w:sz="0" w:space="0" w:color="auto"/>
        <w:bottom w:val="none" w:sz="0" w:space="0" w:color="auto"/>
        <w:right w:val="none" w:sz="0" w:space="0" w:color="auto"/>
      </w:divBdr>
    </w:div>
    <w:div w:id="176387634">
      <w:bodyDiv w:val="1"/>
      <w:marLeft w:val="0"/>
      <w:marRight w:val="0"/>
      <w:marTop w:val="0"/>
      <w:marBottom w:val="0"/>
      <w:divBdr>
        <w:top w:val="none" w:sz="0" w:space="0" w:color="auto"/>
        <w:left w:val="none" w:sz="0" w:space="0" w:color="auto"/>
        <w:bottom w:val="none" w:sz="0" w:space="0" w:color="auto"/>
        <w:right w:val="none" w:sz="0" w:space="0" w:color="auto"/>
      </w:divBdr>
    </w:div>
    <w:div w:id="177737692">
      <w:bodyDiv w:val="1"/>
      <w:marLeft w:val="0"/>
      <w:marRight w:val="0"/>
      <w:marTop w:val="0"/>
      <w:marBottom w:val="0"/>
      <w:divBdr>
        <w:top w:val="none" w:sz="0" w:space="0" w:color="auto"/>
        <w:left w:val="none" w:sz="0" w:space="0" w:color="auto"/>
        <w:bottom w:val="none" w:sz="0" w:space="0" w:color="auto"/>
        <w:right w:val="none" w:sz="0" w:space="0" w:color="auto"/>
      </w:divBdr>
    </w:div>
    <w:div w:id="180241030">
      <w:bodyDiv w:val="1"/>
      <w:marLeft w:val="0"/>
      <w:marRight w:val="0"/>
      <w:marTop w:val="0"/>
      <w:marBottom w:val="0"/>
      <w:divBdr>
        <w:top w:val="none" w:sz="0" w:space="0" w:color="auto"/>
        <w:left w:val="none" w:sz="0" w:space="0" w:color="auto"/>
        <w:bottom w:val="none" w:sz="0" w:space="0" w:color="auto"/>
        <w:right w:val="none" w:sz="0" w:space="0" w:color="auto"/>
      </w:divBdr>
    </w:div>
    <w:div w:id="181672583">
      <w:bodyDiv w:val="1"/>
      <w:marLeft w:val="0"/>
      <w:marRight w:val="0"/>
      <w:marTop w:val="0"/>
      <w:marBottom w:val="0"/>
      <w:divBdr>
        <w:top w:val="none" w:sz="0" w:space="0" w:color="auto"/>
        <w:left w:val="none" w:sz="0" w:space="0" w:color="auto"/>
        <w:bottom w:val="none" w:sz="0" w:space="0" w:color="auto"/>
        <w:right w:val="none" w:sz="0" w:space="0" w:color="auto"/>
      </w:divBdr>
    </w:div>
    <w:div w:id="183131911">
      <w:bodyDiv w:val="1"/>
      <w:marLeft w:val="0"/>
      <w:marRight w:val="0"/>
      <w:marTop w:val="0"/>
      <w:marBottom w:val="0"/>
      <w:divBdr>
        <w:top w:val="none" w:sz="0" w:space="0" w:color="auto"/>
        <w:left w:val="none" w:sz="0" w:space="0" w:color="auto"/>
        <w:bottom w:val="none" w:sz="0" w:space="0" w:color="auto"/>
        <w:right w:val="none" w:sz="0" w:space="0" w:color="auto"/>
      </w:divBdr>
    </w:div>
    <w:div w:id="185291221">
      <w:bodyDiv w:val="1"/>
      <w:marLeft w:val="0"/>
      <w:marRight w:val="0"/>
      <w:marTop w:val="0"/>
      <w:marBottom w:val="0"/>
      <w:divBdr>
        <w:top w:val="none" w:sz="0" w:space="0" w:color="auto"/>
        <w:left w:val="none" w:sz="0" w:space="0" w:color="auto"/>
        <w:bottom w:val="none" w:sz="0" w:space="0" w:color="auto"/>
        <w:right w:val="none" w:sz="0" w:space="0" w:color="auto"/>
      </w:divBdr>
    </w:div>
    <w:div w:id="187642896">
      <w:bodyDiv w:val="1"/>
      <w:marLeft w:val="0"/>
      <w:marRight w:val="0"/>
      <w:marTop w:val="0"/>
      <w:marBottom w:val="0"/>
      <w:divBdr>
        <w:top w:val="none" w:sz="0" w:space="0" w:color="auto"/>
        <w:left w:val="none" w:sz="0" w:space="0" w:color="auto"/>
        <w:bottom w:val="none" w:sz="0" w:space="0" w:color="auto"/>
        <w:right w:val="none" w:sz="0" w:space="0" w:color="auto"/>
      </w:divBdr>
    </w:div>
    <w:div w:id="187715928">
      <w:bodyDiv w:val="1"/>
      <w:marLeft w:val="0"/>
      <w:marRight w:val="0"/>
      <w:marTop w:val="0"/>
      <w:marBottom w:val="0"/>
      <w:divBdr>
        <w:top w:val="none" w:sz="0" w:space="0" w:color="auto"/>
        <w:left w:val="none" w:sz="0" w:space="0" w:color="auto"/>
        <w:bottom w:val="none" w:sz="0" w:space="0" w:color="auto"/>
        <w:right w:val="none" w:sz="0" w:space="0" w:color="auto"/>
      </w:divBdr>
    </w:div>
    <w:div w:id="187719242">
      <w:bodyDiv w:val="1"/>
      <w:marLeft w:val="0"/>
      <w:marRight w:val="0"/>
      <w:marTop w:val="0"/>
      <w:marBottom w:val="0"/>
      <w:divBdr>
        <w:top w:val="none" w:sz="0" w:space="0" w:color="auto"/>
        <w:left w:val="none" w:sz="0" w:space="0" w:color="auto"/>
        <w:bottom w:val="none" w:sz="0" w:space="0" w:color="auto"/>
        <w:right w:val="none" w:sz="0" w:space="0" w:color="auto"/>
      </w:divBdr>
    </w:div>
    <w:div w:id="191189137">
      <w:bodyDiv w:val="1"/>
      <w:marLeft w:val="0"/>
      <w:marRight w:val="0"/>
      <w:marTop w:val="0"/>
      <w:marBottom w:val="0"/>
      <w:divBdr>
        <w:top w:val="none" w:sz="0" w:space="0" w:color="auto"/>
        <w:left w:val="none" w:sz="0" w:space="0" w:color="auto"/>
        <w:bottom w:val="none" w:sz="0" w:space="0" w:color="auto"/>
        <w:right w:val="none" w:sz="0" w:space="0" w:color="auto"/>
      </w:divBdr>
    </w:div>
    <w:div w:id="196432745">
      <w:bodyDiv w:val="1"/>
      <w:marLeft w:val="0"/>
      <w:marRight w:val="0"/>
      <w:marTop w:val="0"/>
      <w:marBottom w:val="0"/>
      <w:divBdr>
        <w:top w:val="none" w:sz="0" w:space="0" w:color="auto"/>
        <w:left w:val="none" w:sz="0" w:space="0" w:color="auto"/>
        <w:bottom w:val="none" w:sz="0" w:space="0" w:color="auto"/>
        <w:right w:val="none" w:sz="0" w:space="0" w:color="auto"/>
      </w:divBdr>
    </w:div>
    <w:div w:id="198666876">
      <w:bodyDiv w:val="1"/>
      <w:marLeft w:val="0"/>
      <w:marRight w:val="0"/>
      <w:marTop w:val="0"/>
      <w:marBottom w:val="0"/>
      <w:divBdr>
        <w:top w:val="none" w:sz="0" w:space="0" w:color="auto"/>
        <w:left w:val="none" w:sz="0" w:space="0" w:color="auto"/>
        <w:bottom w:val="none" w:sz="0" w:space="0" w:color="auto"/>
        <w:right w:val="none" w:sz="0" w:space="0" w:color="auto"/>
      </w:divBdr>
    </w:div>
    <w:div w:id="199055346">
      <w:bodyDiv w:val="1"/>
      <w:marLeft w:val="0"/>
      <w:marRight w:val="0"/>
      <w:marTop w:val="0"/>
      <w:marBottom w:val="0"/>
      <w:divBdr>
        <w:top w:val="none" w:sz="0" w:space="0" w:color="auto"/>
        <w:left w:val="none" w:sz="0" w:space="0" w:color="auto"/>
        <w:bottom w:val="none" w:sz="0" w:space="0" w:color="auto"/>
        <w:right w:val="none" w:sz="0" w:space="0" w:color="auto"/>
      </w:divBdr>
    </w:div>
    <w:div w:id="200823094">
      <w:bodyDiv w:val="1"/>
      <w:marLeft w:val="0"/>
      <w:marRight w:val="0"/>
      <w:marTop w:val="0"/>
      <w:marBottom w:val="0"/>
      <w:divBdr>
        <w:top w:val="none" w:sz="0" w:space="0" w:color="auto"/>
        <w:left w:val="none" w:sz="0" w:space="0" w:color="auto"/>
        <w:bottom w:val="none" w:sz="0" w:space="0" w:color="auto"/>
        <w:right w:val="none" w:sz="0" w:space="0" w:color="auto"/>
      </w:divBdr>
    </w:div>
    <w:div w:id="205337871">
      <w:bodyDiv w:val="1"/>
      <w:marLeft w:val="0"/>
      <w:marRight w:val="0"/>
      <w:marTop w:val="0"/>
      <w:marBottom w:val="0"/>
      <w:divBdr>
        <w:top w:val="none" w:sz="0" w:space="0" w:color="auto"/>
        <w:left w:val="none" w:sz="0" w:space="0" w:color="auto"/>
        <w:bottom w:val="none" w:sz="0" w:space="0" w:color="auto"/>
        <w:right w:val="none" w:sz="0" w:space="0" w:color="auto"/>
      </w:divBdr>
    </w:div>
    <w:div w:id="214703904">
      <w:bodyDiv w:val="1"/>
      <w:marLeft w:val="0"/>
      <w:marRight w:val="0"/>
      <w:marTop w:val="0"/>
      <w:marBottom w:val="0"/>
      <w:divBdr>
        <w:top w:val="none" w:sz="0" w:space="0" w:color="auto"/>
        <w:left w:val="none" w:sz="0" w:space="0" w:color="auto"/>
        <w:bottom w:val="none" w:sz="0" w:space="0" w:color="auto"/>
        <w:right w:val="none" w:sz="0" w:space="0" w:color="auto"/>
      </w:divBdr>
    </w:div>
    <w:div w:id="215896699">
      <w:bodyDiv w:val="1"/>
      <w:marLeft w:val="0"/>
      <w:marRight w:val="0"/>
      <w:marTop w:val="0"/>
      <w:marBottom w:val="0"/>
      <w:divBdr>
        <w:top w:val="none" w:sz="0" w:space="0" w:color="auto"/>
        <w:left w:val="none" w:sz="0" w:space="0" w:color="auto"/>
        <w:bottom w:val="none" w:sz="0" w:space="0" w:color="auto"/>
        <w:right w:val="none" w:sz="0" w:space="0" w:color="auto"/>
      </w:divBdr>
    </w:div>
    <w:div w:id="216476053">
      <w:bodyDiv w:val="1"/>
      <w:marLeft w:val="0"/>
      <w:marRight w:val="0"/>
      <w:marTop w:val="0"/>
      <w:marBottom w:val="0"/>
      <w:divBdr>
        <w:top w:val="none" w:sz="0" w:space="0" w:color="auto"/>
        <w:left w:val="none" w:sz="0" w:space="0" w:color="auto"/>
        <w:bottom w:val="none" w:sz="0" w:space="0" w:color="auto"/>
        <w:right w:val="none" w:sz="0" w:space="0" w:color="auto"/>
      </w:divBdr>
    </w:div>
    <w:div w:id="216742560">
      <w:bodyDiv w:val="1"/>
      <w:marLeft w:val="0"/>
      <w:marRight w:val="0"/>
      <w:marTop w:val="0"/>
      <w:marBottom w:val="0"/>
      <w:divBdr>
        <w:top w:val="none" w:sz="0" w:space="0" w:color="auto"/>
        <w:left w:val="none" w:sz="0" w:space="0" w:color="auto"/>
        <w:bottom w:val="none" w:sz="0" w:space="0" w:color="auto"/>
        <w:right w:val="none" w:sz="0" w:space="0" w:color="auto"/>
      </w:divBdr>
    </w:div>
    <w:div w:id="218136069">
      <w:bodyDiv w:val="1"/>
      <w:marLeft w:val="0"/>
      <w:marRight w:val="0"/>
      <w:marTop w:val="0"/>
      <w:marBottom w:val="0"/>
      <w:divBdr>
        <w:top w:val="none" w:sz="0" w:space="0" w:color="auto"/>
        <w:left w:val="none" w:sz="0" w:space="0" w:color="auto"/>
        <w:bottom w:val="none" w:sz="0" w:space="0" w:color="auto"/>
        <w:right w:val="none" w:sz="0" w:space="0" w:color="auto"/>
      </w:divBdr>
    </w:div>
    <w:div w:id="222183521">
      <w:bodyDiv w:val="1"/>
      <w:marLeft w:val="0"/>
      <w:marRight w:val="0"/>
      <w:marTop w:val="0"/>
      <w:marBottom w:val="0"/>
      <w:divBdr>
        <w:top w:val="none" w:sz="0" w:space="0" w:color="auto"/>
        <w:left w:val="none" w:sz="0" w:space="0" w:color="auto"/>
        <w:bottom w:val="none" w:sz="0" w:space="0" w:color="auto"/>
        <w:right w:val="none" w:sz="0" w:space="0" w:color="auto"/>
      </w:divBdr>
    </w:div>
    <w:div w:id="223564017">
      <w:bodyDiv w:val="1"/>
      <w:marLeft w:val="0"/>
      <w:marRight w:val="0"/>
      <w:marTop w:val="0"/>
      <w:marBottom w:val="0"/>
      <w:divBdr>
        <w:top w:val="none" w:sz="0" w:space="0" w:color="auto"/>
        <w:left w:val="none" w:sz="0" w:space="0" w:color="auto"/>
        <w:bottom w:val="none" w:sz="0" w:space="0" w:color="auto"/>
        <w:right w:val="none" w:sz="0" w:space="0" w:color="auto"/>
      </w:divBdr>
    </w:div>
    <w:div w:id="229537510">
      <w:bodyDiv w:val="1"/>
      <w:marLeft w:val="0"/>
      <w:marRight w:val="0"/>
      <w:marTop w:val="0"/>
      <w:marBottom w:val="0"/>
      <w:divBdr>
        <w:top w:val="none" w:sz="0" w:space="0" w:color="auto"/>
        <w:left w:val="none" w:sz="0" w:space="0" w:color="auto"/>
        <w:bottom w:val="none" w:sz="0" w:space="0" w:color="auto"/>
        <w:right w:val="none" w:sz="0" w:space="0" w:color="auto"/>
      </w:divBdr>
    </w:div>
    <w:div w:id="230694720">
      <w:bodyDiv w:val="1"/>
      <w:marLeft w:val="0"/>
      <w:marRight w:val="0"/>
      <w:marTop w:val="0"/>
      <w:marBottom w:val="0"/>
      <w:divBdr>
        <w:top w:val="none" w:sz="0" w:space="0" w:color="auto"/>
        <w:left w:val="none" w:sz="0" w:space="0" w:color="auto"/>
        <w:bottom w:val="none" w:sz="0" w:space="0" w:color="auto"/>
        <w:right w:val="none" w:sz="0" w:space="0" w:color="auto"/>
      </w:divBdr>
    </w:div>
    <w:div w:id="230779088">
      <w:bodyDiv w:val="1"/>
      <w:marLeft w:val="0"/>
      <w:marRight w:val="0"/>
      <w:marTop w:val="0"/>
      <w:marBottom w:val="0"/>
      <w:divBdr>
        <w:top w:val="none" w:sz="0" w:space="0" w:color="auto"/>
        <w:left w:val="none" w:sz="0" w:space="0" w:color="auto"/>
        <w:bottom w:val="none" w:sz="0" w:space="0" w:color="auto"/>
        <w:right w:val="none" w:sz="0" w:space="0" w:color="auto"/>
      </w:divBdr>
    </w:div>
    <w:div w:id="239222655">
      <w:bodyDiv w:val="1"/>
      <w:marLeft w:val="0"/>
      <w:marRight w:val="0"/>
      <w:marTop w:val="0"/>
      <w:marBottom w:val="0"/>
      <w:divBdr>
        <w:top w:val="none" w:sz="0" w:space="0" w:color="auto"/>
        <w:left w:val="none" w:sz="0" w:space="0" w:color="auto"/>
        <w:bottom w:val="none" w:sz="0" w:space="0" w:color="auto"/>
        <w:right w:val="none" w:sz="0" w:space="0" w:color="auto"/>
      </w:divBdr>
    </w:div>
    <w:div w:id="246766752">
      <w:bodyDiv w:val="1"/>
      <w:marLeft w:val="0"/>
      <w:marRight w:val="0"/>
      <w:marTop w:val="0"/>
      <w:marBottom w:val="0"/>
      <w:divBdr>
        <w:top w:val="none" w:sz="0" w:space="0" w:color="auto"/>
        <w:left w:val="none" w:sz="0" w:space="0" w:color="auto"/>
        <w:bottom w:val="none" w:sz="0" w:space="0" w:color="auto"/>
        <w:right w:val="none" w:sz="0" w:space="0" w:color="auto"/>
      </w:divBdr>
    </w:div>
    <w:div w:id="250937697">
      <w:bodyDiv w:val="1"/>
      <w:marLeft w:val="0"/>
      <w:marRight w:val="0"/>
      <w:marTop w:val="0"/>
      <w:marBottom w:val="0"/>
      <w:divBdr>
        <w:top w:val="none" w:sz="0" w:space="0" w:color="auto"/>
        <w:left w:val="none" w:sz="0" w:space="0" w:color="auto"/>
        <w:bottom w:val="none" w:sz="0" w:space="0" w:color="auto"/>
        <w:right w:val="none" w:sz="0" w:space="0" w:color="auto"/>
      </w:divBdr>
    </w:div>
    <w:div w:id="252320922">
      <w:bodyDiv w:val="1"/>
      <w:marLeft w:val="0"/>
      <w:marRight w:val="0"/>
      <w:marTop w:val="0"/>
      <w:marBottom w:val="0"/>
      <w:divBdr>
        <w:top w:val="none" w:sz="0" w:space="0" w:color="auto"/>
        <w:left w:val="none" w:sz="0" w:space="0" w:color="auto"/>
        <w:bottom w:val="none" w:sz="0" w:space="0" w:color="auto"/>
        <w:right w:val="none" w:sz="0" w:space="0" w:color="auto"/>
      </w:divBdr>
    </w:div>
    <w:div w:id="252863388">
      <w:bodyDiv w:val="1"/>
      <w:marLeft w:val="0"/>
      <w:marRight w:val="0"/>
      <w:marTop w:val="0"/>
      <w:marBottom w:val="0"/>
      <w:divBdr>
        <w:top w:val="none" w:sz="0" w:space="0" w:color="auto"/>
        <w:left w:val="none" w:sz="0" w:space="0" w:color="auto"/>
        <w:bottom w:val="none" w:sz="0" w:space="0" w:color="auto"/>
        <w:right w:val="none" w:sz="0" w:space="0" w:color="auto"/>
      </w:divBdr>
    </w:div>
    <w:div w:id="253516106">
      <w:bodyDiv w:val="1"/>
      <w:marLeft w:val="0"/>
      <w:marRight w:val="0"/>
      <w:marTop w:val="0"/>
      <w:marBottom w:val="0"/>
      <w:divBdr>
        <w:top w:val="none" w:sz="0" w:space="0" w:color="auto"/>
        <w:left w:val="none" w:sz="0" w:space="0" w:color="auto"/>
        <w:bottom w:val="none" w:sz="0" w:space="0" w:color="auto"/>
        <w:right w:val="none" w:sz="0" w:space="0" w:color="auto"/>
      </w:divBdr>
    </w:div>
    <w:div w:id="258684468">
      <w:bodyDiv w:val="1"/>
      <w:marLeft w:val="0"/>
      <w:marRight w:val="0"/>
      <w:marTop w:val="0"/>
      <w:marBottom w:val="0"/>
      <w:divBdr>
        <w:top w:val="none" w:sz="0" w:space="0" w:color="auto"/>
        <w:left w:val="none" w:sz="0" w:space="0" w:color="auto"/>
        <w:bottom w:val="none" w:sz="0" w:space="0" w:color="auto"/>
        <w:right w:val="none" w:sz="0" w:space="0" w:color="auto"/>
      </w:divBdr>
    </w:div>
    <w:div w:id="262416438">
      <w:bodyDiv w:val="1"/>
      <w:marLeft w:val="0"/>
      <w:marRight w:val="0"/>
      <w:marTop w:val="0"/>
      <w:marBottom w:val="0"/>
      <w:divBdr>
        <w:top w:val="none" w:sz="0" w:space="0" w:color="auto"/>
        <w:left w:val="none" w:sz="0" w:space="0" w:color="auto"/>
        <w:bottom w:val="none" w:sz="0" w:space="0" w:color="auto"/>
        <w:right w:val="none" w:sz="0" w:space="0" w:color="auto"/>
      </w:divBdr>
    </w:div>
    <w:div w:id="262879024">
      <w:bodyDiv w:val="1"/>
      <w:marLeft w:val="0"/>
      <w:marRight w:val="0"/>
      <w:marTop w:val="0"/>
      <w:marBottom w:val="0"/>
      <w:divBdr>
        <w:top w:val="none" w:sz="0" w:space="0" w:color="auto"/>
        <w:left w:val="none" w:sz="0" w:space="0" w:color="auto"/>
        <w:bottom w:val="none" w:sz="0" w:space="0" w:color="auto"/>
        <w:right w:val="none" w:sz="0" w:space="0" w:color="auto"/>
      </w:divBdr>
    </w:div>
    <w:div w:id="268658076">
      <w:bodyDiv w:val="1"/>
      <w:marLeft w:val="0"/>
      <w:marRight w:val="0"/>
      <w:marTop w:val="0"/>
      <w:marBottom w:val="0"/>
      <w:divBdr>
        <w:top w:val="none" w:sz="0" w:space="0" w:color="auto"/>
        <w:left w:val="none" w:sz="0" w:space="0" w:color="auto"/>
        <w:bottom w:val="none" w:sz="0" w:space="0" w:color="auto"/>
        <w:right w:val="none" w:sz="0" w:space="0" w:color="auto"/>
      </w:divBdr>
    </w:div>
    <w:div w:id="268784730">
      <w:bodyDiv w:val="1"/>
      <w:marLeft w:val="0"/>
      <w:marRight w:val="0"/>
      <w:marTop w:val="0"/>
      <w:marBottom w:val="0"/>
      <w:divBdr>
        <w:top w:val="none" w:sz="0" w:space="0" w:color="auto"/>
        <w:left w:val="none" w:sz="0" w:space="0" w:color="auto"/>
        <w:bottom w:val="none" w:sz="0" w:space="0" w:color="auto"/>
        <w:right w:val="none" w:sz="0" w:space="0" w:color="auto"/>
      </w:divBdr>
    </w:div>
    <w:div w:id="270431638">
      <w:bodyDiv w:val="1"/>
      <w:marLeft w:val="0"/>
      <w:marRight w:val="0"/>
      <w:marTop w:val="0"/>
      <w:marBottom w:val="0"/>
      <w:divBdr>
        <w:top w:val="none" w:sz="0" w:space="0" w:color="auto"/>
        <w:left w:val="none" w:sz="0" w:space="0" w:color="auto"/>
        <w:bottom w:val="none" w:sz="0" w:space="0" w:color="auto"/>
        <w:right w:val="none" w:sz="0" w:space="0" w:color="auto"/>
      </w:divBdr>
    </w:div>
    <w:div w:id="270940554">
      <w:bodyDiv w:val="1"/>
      <w:marLeft w:val="0"/>
      <w:marRight w:val="0"/>
      <w:marTop w:val="0"/>
      <w:marBottom w:val="0"/>
      <w:divBdr>
        <w:top w:val="none" w:sz="0" w:space="0" w:color="auto"/>
        <w:left w:val="none" w:sz="0" w:space="0" w:color="auto"/>
        <w:bottom w:val="none" w:sz="0" w:space="0" w:color="auto"/>
        <w:right w:val="none" w:sz="0" w:space="0" w:color="auto"/>
      </w:divBdr>
    </w:div>
    <w:div w:id="277373088">
      <w:bodyDiv w:val="1"/>
      <w:marLeft w:val="0"/>
      <w:marRight w:val="0"/>
      <w:marTop w:val="0"/>
      <w:marBottom w:val="0"/>
      <w:divBdr>
        <w:top w:val="none" w:sz="0" w:space="0" w:color="auto"/>
        <w:left w:val="none" w:sz="0" w:space="0" w:color="auto"/>
        <w:bottom w:val="none" w:sz="0" w:space="0" w:color="auto"/>
        <w:right w:val="none" w:sz="0" w:space="0" w:color="auto"/>
      </w:divBdr>
    </w:div>
    <w:div w:id="278991382">
      <w:bodyDiv w:val="1"/>
      <w:marLeft w:val="0"/>
      <w:marRight w:val="0"/>
      <w:marTop w:val="0"/>
      <w:marBottom w:val="0"/>
      <w:divBdr>
        <w:top w:val="none" w:sz="0" w:space="0" w:color="auto"/>
        <w:left w:val="none" w:sz="0" w:space="0" w:color="auto"/>
        <w:bottom w:val="none" w:sz="0" w:space="0" w:color="auto"/>
        <w:right w:val="none" w:sz="0" w:space="0" w:color="auto"/>
      </w:divBdr>
    </w:div>
    <w:div w:id="280765162">
      <w:bodyDiv w:val="1"/>
      <w:marLeft w:val="0"/>
      <w:marRight w:val="0"/>
      <w:marTop w:val="0"/>
      <w:marBottom w:val="0"/>
      <w:divBdr>
        <w:top w:val="none" w:sz="0" w:space="0" w:color="auto"/>
        <w:left w:val="none" w:sz="0" w:space="0" w:color="auto"/>
        <w:bottom w:val="none" w:sz="0" w:space="0" w:color="auto"/>
        <w:right w:val="none" w:sz="0" w:space="0" w:color="auto"/>
      </w:divBdr>
    </w:div>
    <w:div w:id="282931886">
      <w:bodyDiv w:val="1"/>
      <w:marLeft w:val="0"/>
      <w:marRight w:val="0"/>
      <w:marTop w:val="0"/>
      <w:marBottom w:val="0"/>
      <w:divBdr>
        <w:top w:val="none" w:sz="0" w:space="0" w:color="auto"/>
        <w:left w:val="none" w:sz="0" w:space="0" w:color="auto"/>
        <w:bottom w:val="none" w:sz="0" w:space="0" w:color="auto"/>
        <w:right w:val="none" w:sz="0" w:space="0" w:color="auto"/>
      </w:divBdr>
    </w:div>
    <w:div w:id="286015293">
      <w:bodyDiv w:val="1"/>
      <w:marLeft w:val="0"/>
      <w:marRight w:val="0"/>
      <w:marTop w:val="0"/>
      <w:marBottom w:val="0"/>
      <w:divBdr>
        <w:top w:val="none" w:sz="0" w:space="0" w:color="auto"/>
        <w:left w:val="none" w:sz="0" w:space="0" w:color="auto"/>
        <w:bottom w:val="none" w:sz="0" w:space="0" w:color="auto"/>
        <w:right w:val="none" w:sz="0" w:space="0" w:color="auto"/>
      </w:divBdr>
    </w:div>
    <w:div w:id="286207892">
      <w:bodyDiv w:val="1"/>
      <w:marLeft w:val="0"/>
      <w:marRight w:val="0"/>
      <w:marTop w:val="0"/>
      <w:marBottom w:val="0"/>
      <w:divBdr>
        <w:top w:val="none" w:sz="0" w:space="0" w:color="auto"/>
        <w:left w:val="none" w:sz="0" w:space="0" w:color="auto"/>
        <w:bottom w:val="none" w:sz="0" w:space="0" w:color="auto"/>
        <w:right w:val="none" w:sz="0" w:space="0" w:color="auto"/>
      </w:divBdr>
    </w:div>
    <w:div w:id="287977631">
      <w:bodyDiv w:val="1"/>
      <w:marLeft w:val="0"/>
      <w:marRight w:val="0"/>
      <w:marTop w:val="0"/>
      <w:marBottom w:val="0"/>
      <w:divBdr>
        <w:top w:val="none" w:sz="0" w:space="0" w:color="auto"/>
        <w:left w:val="none" w:sz="0" w:space="0" w:color="auto"/>
        <w:bottom w:val="none" w:sz="0" w:space="0" w:color="auto"/>
        <w:right w:val="none" w:sz="0" w:space="0" w:color="auto"/>
      </w:divBdr>
    </w:div>
    <w:div w:id="297684107">
      <w:bodyDiv w:val="1"/>
      <w:marLeft w:val="0"/>
      <w:marRight w:val="0"/>
      <w:marTop w:val="0"/>
      <w:marBottom w:val="0"/>
      <w:divBdr>
        <w:top w:val="none" w:sz="0" w:space="0" w:color="auto"/>
        <w:left w:val="none" w:sz="0" w:space="0" w:color="auto"/>
        <w:bottom w:val="none" w:sz="0" w:space="0" w:color="auto"/>
        <w:right w:val="none" w:sz="0" w:space="0" w:color="auto"/>
      </w:divBdr>
    </w:div>
    <w:div w:id="299650701">
      <w:bodyDiv w:val="1"/>
      <w:marLeft w:val="0"/>
      <w:marRight w:val="0"/>
      <w:marTop w:val="0"/>
      <w:marBottom w:val="0"/>
      <w:divBdr>
        <w:top w:val="none" w:sz="0" w:space="0" w:color="auto"/>
        <w:left w:val="none" w:sz="0" w:space="0" w:color="auto"/>
        <w:bottom w:val="none" w:sz="0" w:space="0" w:color="auto"/>
        <w:right w:val="none" w:sz="0" w:space="0" w:color="auto"/>
      </w:divBdr>
    </w:div>
    <w:div w:id="303049012">
      <w:bodyDiv w:val="1"/>
      <w:marLeft w:val="0"/>
      <w:marRight w:val="0"/>
      <w:marTop w:val="0"/>
      <w:marBottom w:val="0"/>
      <w:divBdr>
        <w:top w:val="none" w:sz="0" w:space="0" w:color="auto"/>
        <w:left w:val="none" w:sz="0" w:space="0" w:color="auto"/>
        <w:bottom w:val="none" w:sz="0" w:space="0" w:color="auto"/>
        <w:right w:val="none" w:sz="0" w:space="0" w:color="auto"/>
      </w:divBdr>
    </w:div>
    <w:div w:id="308677741">
      <w:bodyDiv w:val="1"/>
      <w:marLeft w:val="0"/>
      <w:marRight w:val="0"/>
      <w:marTop w:val="0"/>
      <w:marBottom w:val="0"/>
      <w:divBdr>
        <w:top w:val="none" w:sz="0" w:space="0" w:color="auto"/>
        <w:left w:val="none" w:sz="0" w:space="0" w:color="auto"/>
        <w:bottom w:val="none" w:sz="0" w:space="0" w:color="auto"/>
        <w:right w:val="none" w:sz="0" w:space="0" w:color="auto"/>
      </w:divBdr>
    </w:div>
    <w:div w:id="314720459">
      <w:bodyDiv w:val="1"/>
      <w:marLeft w:val="0"/>
      <w:marRight w:val="0"/>
      <w:marTop w:val="0"/>
      <w:marBottom w:val="0"/>
      <w:divBdr>
        <w:top w:val="none" w:sz="0" w:space="0" w:color="auto"/>
        <w:left w:val="none" w:sz="0" w:space="0" w:color="auto"/>
        <w:bottom w:val="none" w:sz="0" w:space="0" w:color="auto"/>
        <w:right w:val="none" w:sz="0" w:space="0" w:color="auto"/>
      </w:divBdr>
    </w:div>
    <w:div w:id="321086948">
      <w:bodyDiv w:val="1"/>
      <w:marLeft w:val="0"/>
      <w:marRight w:val="0"/>
      <w:marTop w:val="0"/>
      <w:marBottom w:val="0"/>
      <w:divBdr>
        <w:top w:val="none" w:sz="0" w:space="0" w:color="auto"/>
        <w:left w:val="none" w:sz="0" w:space="0" w:color="auto"/>
        <w:bottom w:val="none" w:sz="0" w:space="0" w:color="auto"/>
        <w:right w:val="none" w:sz="0" w:space="0" w:color="auto"/>
      </w:divBdr>
    </w:div>
    <w:div w:id="323440859">
      <w:bodyDiv w:val="1"/>
      <w:marLeft w:val="0"/>
      <w:marRight w:val="0"/>
      <w:marTop w:val="0"/>
      <w:marBottom w:val="0"/>
      <w:divBdr>
        <w:top w:val="none" w:sz="0" w:space="0" w:color="auto"/>
        <w:left w:val="none" w:sz="0" w:space="0" w:color="auto"/>
        <w:bottom w:val="none" w:sz="0" w:space="0" w:color="auto"/>
        <w:right w:val="none" w:sz="0" w:space="0" w:color="auto"/>
      </w:divBdr>
    </w:div>
    <w:div w:id="324018622">
      <w:bodyDiv w:val="1"/>
      <w:marLeft w:val="0"/>
      <w:marRight w:val="0"/>
      <w:marTop w:val="0"/>
      <w:marBottom w:val="0"/>
      <w:divBdr>
        <w:top w:val="none" w:sz="0" w:space="0" w:color="auto"/>
        <w:left w:val="none" w:sz="0" w:space="0" w:color="auto"/>
        <w:bottom w:val="none" w:sz="0" w:space="0" w:color="auto"/>
        <w:right w:val="none" w:sz="0" w:space="0" w:color="auto"/>
      </w:divBdr>
    </w:div>
    <w:div w:id="324482923">
      <w:bodyDiv w:val="1"/>
      <w:marLeft w:val="0"/>
      <w:marRight w:val="0"/>
      <w:marTop w:val="0"/>
      <w:marBottom w:val="0"/>
      <w:divBdr>
        <w:top w:val="none" w:sz="0" w:space="0" w:color="auto"/>
        <w:left w:val="none" w:sz="0" w:space="0" w:color="auto"/>
        <w:bottom w:val="none" w:sz="0" w:space="0" w:color="auto"/>
        <w:right w:val="none" w:sz="0" w:space="0" w:color="auto"/>
      </w:divBdr>
    </w:div>
    <w:div w:id="327170675">
      <w:bodyDiv w:val="1"/>
      <w:marLeft w:val="0"/>
      <w:marRight w:val="0"/>
      <w:marTop w:val="0"/>
      <w:marBottom w:val="0"/>
      <w:divBdr>
        <w:top w:val="none" w:sz="0" w:space="0" w:color="auto"/>
        <w:left w:val="none" w:sz="0" w:space="0" w:color="auto"/>
        <w:bottom w:val="none" w:sz="0" w:space="0" w:color="auto"/>
        <w:right w:val="none" w:sz="0" w:space="0" w:color="auto"/>
      </w:divBdr>
    </w:div>
    <w:div w:id="327756998">
      <w:bodyDiv w:val="1"/>
      <w:marLeft w:val="0"/>
      <w:marRight w:val="0"/>
      <w:marTop w:val="0"/>
      <w:marBottom w:val="0"/>
      <w:divBdr>
        <w:top w:val="none" w:sz="0" w:space="0" w:color="auto"/>
        <w:left w:val="none" w:sz="0" w:space="0" w:color="auto"/>
        <w:bottom w:val="none" w:sz="0" w:space="0" w:color="auto"/>
        <w:right w:val="none" w:sz="0" w:space="0" w:color="auto"/>
      </w:divBdr>
    </w:div>
    <w:div w:id="328600700">
      <w:bodyDiv w:val="1"/>
      <w:marLeft w:val="0"/>
      <w:marRight w:val="0"/>
      <w:marTop w:val="0"/>
      <w:marBottom w:val="0"/>
      <w:divBdr>
        <w:top w:val="none" w:sz="0" w:space="0" w:color="auto"/>
        <w:left w:val="none" w:sz="0" w:space="0" w:color="auto"/>
        <w:bottom w:val="none" w:sz="0" w:space="0" w:color="auto"/>
        <w:right w:val="none" w:sz="0" w:space="0" w:color="auto"/>
      </w:divBdr>
    </w:div>
    <w:div w:id="335352497">
      <w:bodyDiv w:val="1"/>
      <w:marLeft w:val="0"/>
      <w:marRight w:val="0"/>
      <w:marTop w:val="0"/>
      <w:marBottom w:val="0"/>
      <w:divBdr>
        <w:top w:val="none" w:sz="0" w:space="0" w:color="auto"/>
        <w:left w:val="none" w:sz="0" w:space="0" w:color="auto"/>
        <w:bottom w:val="none" w:sz="0" w:space="0" w:color="auto"/>
        <w:right w:val="none" w:sz="0" w:space="0" w:color="auto"/>
      </w:divBdr>
    </w:div>
    <w:div w:id="339894359">
      <w:bodyDiv w:val="1"/>
      <w:marLeft w:val="0"/>
      <w:marRight w:val="0"/>
      <w:marTop w:val="0"/>
      <w:marBottom w:val="0"/>
      <w:divBdr>
        <w:top w:val="none" w:sz="0" w:space="0" w:color="auto"/>
        <w:left w:val="none" w:sz="0" w:space="0" w:color="auto"/>
        <w:bottom w:val="none" w:sz="0" w:space="0" w:color="auto"/>
        <w:right w:val="none" w:sz="0" w:space="0" w:color="auto"/>
      </w:divBdr>
    </w:div>
    <w:div w:id="340817067">
      <w:bodyDiv w:val="1"/>
      <w:marLeft w:val="0"/>
      <w:marRight w:val="0"/>
      <w:marTop w:val="0"/>
      <w:marBottom w:val="0"/>
      <w:divBdr>
        <w:top w:val="none" w:sz="0" w:space="0" w:color="auto"/>
        <w:left w:val="none" w:sz="0" w:space="0" w:color="auto"/>
        <w:bottom w:val="none" w:sz="0" w:space="0" w:color="auto"/>
        <w:right w:val="none" w:sz="0" w:space="0" w:color="auto"/>
      </w:divBdr>
    </w:div>
    <w:div w:id="341471079">
      <w:bodyDiv w:val="1"/>
      <w:marLeft w:val="0"/>
      <w:marRight w:val="0"/>
      <w:marTop w:val="0"/>
      <w:marBottom w:val="0"/>
      <w:divBdr>
        <w:top w:val="none" w:sz="0" w:space="0" w:color="auto"/>
        <w:left w:val="none" w:sz="0" w:space="0" w:color="auto"/>
        <w:bottom w:val="none" w:sz="0" w:space="0" w:color="auto"/>
        <w:right w:val="none" w:sz="0" w:space="0" w:color="auto"/>
      </w:divBdr>
    </w:div>
    <w:div w:id="344282357">
      <w:bodyDiv w:val="1"/>
      <w:marLeft w:val="0"/>
      <w:marRight w:val="0"/>
      <w:marTop w:val="0"/>
      <w:marBottom w:val="0"/>
      <w:divBdr>
        <w:top w:val="none" w:sz="0" w:space="0" w:color="auto"/>
        <w:left w:val="none" w:sz="0" w:space="0" w:color="auto"/>
        <w:bottom w:val="none" w:sz="0" w:space="0" w:color="auto"/>
        <w:right w:val="none" w:sz="0" w:space="0" w:color="auto"/>
      </w:divBdr>
    </w:div>
    <w:div w:id="349183634">
      <w:bodyDiv w:val="1"/>
      <w:marLeft w:val="0"/>
      <w:marRight w:val="0"/>
      <w:marTop w:val="0"/>
      <w:marBottom w:val="0"/>
      <w:divBdr>
        <w:top w:val="none" w:sz="0" w:space="0" w:color="auto"/>
        <w:left w:val="none" w:sz="0" w:space="0" w:color="auto"/>
        <w:bottom w:val="none" w:sz="0" w:space="0" w:color="auto"/>
        <w:right w:val="none" w:sz="0" w:space="0" w:color="auto"/>
      </w:divBdr>
    </w:div>
    <w:div w:id="353188849">
      <w:bodyDiv w:val="1"/>
      <w:marLeft w:val="0"/>
      <w:marRight w:val="0"/>
      <w:marTop w:val="0"/>
      <w:marBottom w:val="0"/>
      <w:divBdr>
        <w:top w:val="none" w:sz="0" w:space="0" w:color="auto"/>
        <w:left w:val="none" w:sz="0" w:space="0" w:color="auto"/>
        <w:bottom w:val="none" w:sz="0" w:space="0" w:color="auto"/>
        <w:right w:val="none" w:sz="0" w:space="0" w:color="auto"/>
      </w:divBdr>
    </w:div>
    <w:div w:id="355234954">
      <w:bodyDiv w:val="1"/>
      <w:marLeft w:val="0"/>
      <w:marRight w:val="0"/>
      <w:marTop w:val="0"/>
      <w:marBottom w:val="0"/>
      <w:divBdr>
        <w:top w:val="none" w:sz="0" w:space="0" w:color="auto"/>
        <w:left w:val="none" w:sz="0" w:space="0" w:color="auto"/>
        <w:bottom w:val="none" w:sz="0" w:space="0" w:color="auto"/>
        <w:right w:val="none" w:sz="0" w:space="0" w:color="auto"/>
      </w:divBdr>
    </w:div>
    <w:div w:id="358702630">
      <w:bodyDiv w:val="1"/>
      <w:marLeft w:val="0"/>
      <w:marRight w:val="0"/>
      <w:marTop w:val="0"/>
      <w:marBottom w:val="0"/>
      <w:divBdr>
        <w:top w:val="none" w:sz="0" w:space="0" w:color="auto"/>
        <w:left w:val="none" w:sz="0" w:space="0" w:color="auto"/>
        <w:bottom w:val="none" w:sz="0" w:space="0" w:color="auto"/>
        <w:right w:val="none" w:sz="0" w:space="0" w:color="auto"/>
      </w:divBdr>
    </w:div>
    <w:div w:id="360596456">
      <w:bodyDiv w:val="1"/>
      <w:marLeft w:val="0"/>
      <w:marRight w:val="0"/>
      <w:marTop w:val="0"/>
      <w:marBottom w:val="0"/>
      <w:divBdr>
        <w:top w:val="none" w:sz="0" w:space="0" w:color="auto"/>
        <w:left w:val="none" w:sz="0" w:space="0" w:color="auto"/>
        <w:bottom w:val="none" w:sz="0" w:space="0" w:color="auto"/>
        <w:right w:val="none" w:sz="0" w:space="0" w:color="auto"/>
      </w:divBdr>
    </w:div>
    <w:div w:id="361321932">
      <w:bodyDiv w:val="1"/>
      <w:marLeft w:val="0"/>
      <w:marRight w:val="0"/>
      <w:marTop w:val="0"/>
      <w:marBottom w:val="0"/>
      <w:divBdr>
        <w:top w:val="none" w:sz="0" w:space="0" w:color="auto"/>
        <w:left w:val="none" w:sz="0" w:space="0" w:color="auto"/>
        <w:bottom w:val="none" w:sz="0" w:space="0" w:color="auto"/>
        <w:right w:val="none" w:sz="0" w:space="0" w:color="auto"/>
      </w:divBdr>
    </w:div>
    <w:div w:id="362100172">
      <w:bodyDiv w:val="1"/>
      <w:marLeft w:val="0"/>
      <w:marRight w:val="0"/>
      <w:marTop w:val="0"/>
      <w:marBottom w:val="0"/>
      <w:divBdr>
        <w:top w:val="none" w:sz="0" w:space="0" w:color="auto"/>
        <w:left w:val="none" w:sz="0" w:space="0" w:color="auto"/>
        <w:bottom w:val="none" w:sz="0" w:space="0" w:color="auto"/>
        <w:right w:val="none" w:sz="0" w:space="0" w:color="auto"/>
      </w:divBdr>
    </w:div>
    <w:div w:id="362436248">
      <w:bodyDiv w:val="1"/>
      <w:marLeft w:val="0"/>
      <w:marRight w:val="0"/>
      <w:marTop w:val="0"/>
      <w:marBottom w:val="0"/>
      <w:divBdr>
        <w:top w:val="none" w:sz="0" w:space="0" w:color="auto"/>
        <w:left w:val="none" w:sz="0" w:space="0" w:color="auto"/>
        <w:bottom w:val="none" w:sz="0" w:space="0" w:color="auto"/>
        <w:right w:val="none" w:sz="0" w:space="0" w:color="auto"/>
      </w:divBdr>
    </w:div>
    <w:div w:id="363605274">
      <w:bodyDiv w:val="1"/>
      <w:marLeft w:val="0"/>
      <w:marRight w:val="0"/>
      <w:marTop w:val="0"/>
      <w:marBottom w:val="0"/>
      <w:divBdr>
        <w:top w:val="none" w:sz="0" w:space="0" w:color="auto"/>
        <w:left w:val="none" w:sz="0" w:space="0" w:color="auto"/>
        <w:bottom w:val="none" w:sz="0" w:space="0" w:color="auto"/>
        <w:right w:val="none" w:sz="0" w:space="0" w:color="auto"/>
      </w:divBdr>
    </w:div>
    <w:div w:id="364335206">
      <w:bodyDiv w:val="1"/>
      <w:marLeft w:val="0"/>
      <w:marRight w:val="0"/>
      <w:marTop w:val="0"/>
      <w:marBottom w:val="0"/>
      <w:divBdr>
        <w:top w:val="none" w:sz="0" w:space="0" w:color="auto"/>
        <w:left w:val="none" w:sz="0" w:space="0" w:color="auto"/>
        <w:bottom w:val="none" w:sz="0" w:space="0" w:color="auto"/>
        <w:right w:val="none" w:sz="0" w:space="0" w:color="auto"/>
      </w:divBdr>
    </w:div>
    <w:div w:id="366762820">
      <w:bodyDiv w:val="1"/>
      <w:marLeft w:val="0"/>
      <w:marRight w:val="0"/>
      <w:marTop w:val="0"/>
      <w:marBottom w:val="0"/>
      <w:divBdr>
        <w:top w:val="none" w:sz="0" w:space="0" w:color="auto"/>
        <w:left w:val="none" w:sz="0" w:space="0" w:color="auto"/>
        <w:bottom w:val="none" w:sz="0" w:space="0" w:color="auto"/>
        <w:right w:val="none" w:sz="0" w:space="0" w:color="auto"/>
      </w:divBdr>
    </w:div>
    <w:div w:id="373039828">
      <w:bodyDiv w:val="1"/>
      <w:marLeft w:val="0"/>
      <w:marRight w:val="0"/>
      <w:marTop w:val="0"/>
      <w:marBottom w:val="0"/>
      <w:divBdr>
        <w:top w:val="none" w:sz="0" w:space="0" w:color="auto"/>
        <w:left w:val="none" w:sz="0" w:space="0" w:color="auto"/>
        <w:bottom w:val="none" w:sz="0" w:space="0" w:color="auto"/>
        <w:right w:val="none" w:sz="0" w:space="0" w:color="auto"/>
      </w:divBdr>
    </w:div>
    <w:div w:id="374819638">
      <w:bodyDiv w:val="1"/>
      <w:marLeft w:val="0"/>
      <w:marRight w:val="0"/>
      <w:marTop w:val="0"/>
      <w:marBottom w:val="0"/>
      <w:divBdr>
        <w:top w:val="none" w:sz="0" w:space="0" w:color="auto"/>
        <w:left w:val="none" w:sz="0" w:space="0" w:color="auto"/>
        <w:bottom w:val="none" w:sz="0" w:space="0" w:color="auto"/>
        <w:right w:val="none" w:sz="0" w:space="0" w:color="auto"/>
      </w:divBdr>
    </w:div>
    <w:div w:id="375084820">
      <w:bodyDiv w:val="1"/>
      <w:marLeft w:val="0"/>
      <w:marRight w:val="0"/>
      <w:marTop w:val="0"/>
      <w:marBottom w:val="0"/>
      <w:divBdr>
        <w:top w:val="none" w:sz="0" w:space="0" w:color="auto"/>
        <w:left w:val="none" w:sz="0" w:space="0" w:color="auto"/>
        <w:bottom w:val="none" w:sz="0" w:space="0" w:color="auto"/>
        <w:right w:val="none" w:sz="0" w:space="0" w:color="auto"/>
      </w:divBdr>
    </w:div>
    <w:div w:id="376439784">
      <w:bodyDiv w:val="1"/>
      <w:marLeft w:val="0"/>
      <w:marRight w:val="0"/>
      <w:marTop w:val="0"/>
      <w:marBottom w:val="0"/>
      <w:divBdr>
        <w:top w:val="none" w:sz="0" w:space="0" w:color="auto"/>
        <w:left w:val="none" w:sz="0" w:space="0" w:color="auto"/>
        <w:bottom w:val="none" w:sz="0" w:space="0" w:color="auto"/>
        <w:right w:val="none" w:sz="0" w:space="0" w:color="auto"/>
      </w:divBdr>
    </w:div>
    <w:div w:id="381098818">
      <w:bodyDiv w:val="1"/>
      <w:marLeft w:val="0"/>
      <w:marRight w:val="0"/>
      <w:marTop w:val="0"/>
      <w:marBottom w:val="0"/>
      <w:divBdr>
        <w:top w:val="none" w:sz="0" w:space="0" w:color="auto"/>
        <w:left w:val="none" w:sz="0" w:space="0" w:color="auto"/>
        <w:bottom w:val="none" w:sz="0" w:space="0" w:color="auto"/>
        <w:right w:val="none" w:sz="0" w:space="0" w:color="auto"/>
      </w:divBdr>
    </w:div>
    <w:div w:id="383719157">
      <w:bodyDiv w:val="1"/>
      <w:marLeft w:val="0"/>
      <w:marRight w:val="0"/>
      <w:marTop w:val="0"/>
      <w:marBottom w:val="0"/>
      <w:divBdr>
        <w:top w:val="none" w:sz="0" w:space="0" w:color="auto"/>
        <w:left w:val="none" w:sz="0" w:space="0" w:color="auto"/>
        <w:bottom w:val="none" w:sz="0" w:space="0" w:color="auto"/>
        <w:right w:val="none" w:sz="0" w:space="0" w:color="auto"/>
      </w:divBdr>
    </w:div>
    <w:div w:id="384066544">
      <w:bodyDiv w:val="1"/>
      <w:marLeft w:val="0"/>
      <w:marRight w:val="0"/>
      <w:marTop w:val="0"/>
      <w:marBottom w:val="0"/>
      <w:divBdr>
        <w:top w:val="none" w:sz="0" w:space="0" w:color="auto"/>
        <w:left w:val="none" w:sz="0" w:space="0" w:color="auto"/>
        <w:bottom w:val="none" w:sz="0" w:space="0" w:color="auto"/>
        <w:right w:val="none" w:sz="0" w:space="0" w:color="auto"/>
      </w:divBdr>
    </w:div>
    <w:div w:id="388260754">
      <w:bodyDiv w:val="1"/>
      <w:marLeft w:val="0"/>
      <w:marRight w:val="0"/>
      <w:marTop w:val="0"/>
      <w:marBottom w:val="0"/>
      <w:divBdr>
        <w:top w:val="none" w:sz="0" w:space="0" w:color="auto"/>
        <w:left w:val="none" w:sz="0" w:space="0" w:color="auto"/>
        <w:bottom w:val="none" w:sz="0" w:space="0" w:color="auto"/>
        <w:right w:val="none" w:sz="0" w:space="0" w:color="auto"/>
      </w:divBdr>
    </w:div>
    <w:div w:id="388771607">
      <w:bodyDiv w:val="1"/>
      <w:marLeft w:val="0"/>
      <w:marRight w:val="0"/>
      <w:marTop w:val="0"/>
      <w:marBottom w:val="0"/>
      <w:divBdr>
        <w:top w:val="none" w:sz="0" w:space="0" w:color="auto"/>
        <w:left w:val="none" w:sz="0" w:space="0" w:color="auto"/>
        <w:bottom w:val="none" w:sz="0" w:space="0" w:color="auto"/>
        <w:right w:val="none" w:sz="0" w:space="0" w:color="auto"/>
      </w:divBdr>
    </w:div>
    <w:div w:id="388846314">
      <w:bodyDiv w:val="1"/>
      <w:marLeft w:val="0"/>
      <w:marRight w:val="0"/>
      <w:marTop w:val="0"/>
      <w:marBottom w:val="0"/>
      <w:divBdr>
        <w:top w:val="none" w:sz="0" w:space="0" w:color="auto"/>
        <w:left w:val="none" w:sz="0" w:space="0" w:color="auto"/>
        <w:bottom w:val="none" w:sz="0" w:space="0" w:color="auto"/>
        <w:right w:val="none" w:sz="0" w:space="0" w:color="auto"/>
      </w:divBdr>
    </w:div>
    <w:div w:id="392700709">
      <w:bodyDiv w:val="1"/>
      <w:marLeft w:val="0"/>
      <w:marRight w:val="0"/>
      <w:marTop w:val="0"/>
      <w:marBottom w:val="0"/>
      <w:divBdr>
        <w:top w:val="none" w:sz="0" w:space="0" w:color="auto"/>
        <w:left w:val="none" w:sz="0" w:space="0" w:color="auto"/>
        <w:bottom w:val="none" w:sz="0" w:space="0" w:color="auto"/>
        <w:right w:val="none" w:sz="0" w:space="0" w:color="auto"/>
      </w:divBdr>
    </w:div>
    <w:div w:id="396127549">
      <w:bodyDiv w:val="1"/>
      <w:marLeft w:val="0"/>
      <w:marRight w:val="0"/>
      <w:marTop w:val="0"/>
      <w:marBottom w:val="0"/>
      <w:divBdr>
        <w:top w:val="none" w:sz="0" w:space="0" w:color="auto"/>
        <w:left w:val="none" w:sz="0" w:space="0" w:color="auto"/>
        <w:bottom w:val="none" w:sz="0" w:space="0" w:color="auto"/>
        <w:right w:val="none" w:sz="0" w:space="0" w:color="auto"/>
      </w:divBdr>
      <w:divsChild>
        <w:div w:id="287050999">
          <w:marLeft w:val="0"/>
          <w:marRight w:val="0"/>
          <w:marTop w:val="0"/>
          <w:marBottom w:val="0"/>
          <w:divBdr>
            <w:top w:val="none" w:sz="0" w:space="0" w:color="auto"/>
            <w:left w:val="none" w:sz="0" w:space="0" w:color="auto"/>
            <w:bottom w:val="none" w:sz="0" w:space="0" w:color="auto"/>
            <w:right w:val="none" w:sz="0" w:space="0" w:color="auto"/>
          </w:divBdr>
          <w:divsChild>
            <w:div w:id="799764048">
              <w:marLeft w:val="0"/>
              <w:marRight w:val="0"/>
              <w:marTop w:val="0"/>
              <w:marBottom w:val="0"/>
              <w:divBdr>
                <w:top w:val="none" w:sz="0" w:space="0" w:color="auto"/>
                <w:left w:val="none" w:sz="0" w:space="0" w:color="auto"/>
                <w:bottom w:val="none" w:sz="0" w:space="0" w:color="auto"/>
                <w:right w:val="none" w:sz="0" w:space="0" w:color="auto"/>
              </w:divBdr>
              <w:divsChild>
                <w:div w:id="1335912126">
                  <w:marLeft w:val="0"/>
                  <w:marRight w:val="0"/>
                  <w:marTop w:val="0"/>
                  <w:marBottom w:val="0"/>
                  <w:divBdr>
                    <w:top w:val="none" w:sz="0" w:space="0" w:color="auto"/>
                    <w:left w:val="none" w:sz="0" w:space="0" w:color="auto"/>
                    <w:bottom w:val="none" w:sz="0" w:space="0" w:color="auto"/>
                    <w:right w:val="none" w:sz="0" w:space="0" w:color="auto"/>
                  </w:divBdr>
                  <w:divsChild>
                    <w:div w:id="877088358">
                      <w:marLeft w:val="0"/>
                      <w:marRight w:val="0"/>
                      <w:marTop w:val="0"/>
                      <w:marBottom w:val="0"/>
                      <w:divBdr>
                        <w:top w:val="none" w:sz="0" w:space="0" w:color="auto"/>
                        <w:left w:val="none" w:sz="0" w:space="0" w:color="auto"/>
                        <w:bottom w:val="none" w:sz="0" w:space="0" w:color="auto"/>
                        <w:right w:val="none" w:sz="0" w:space="0" w:color="auto"/>
                      </w:divBdr>
                      <w:divsChild>
                        <w:div w:id="1731034893">
                          <w:marLeft w:val="0"/>
                          <w:marRight w:val="0"/>
                          <w:marTop w:val="100"/>
                          <w:marBottom w:val="100"/>
                          <w:divBdr>
                            <w:top w:val="none" w:sz="0" w:space="0" w:color="auto"/>
                            <w:left w:val="none" w:sz="0" w:space="0" w:color="auto"/>
                            <w:bottom w:val="none" w:sz="0" w:space="0" w:color="auto"/>
                            <w:right w:val="none" w:sz="0" w:space="0" w:color="auto"/>
                          </w:divBdr>
                          <w:divsChild>
                            <w:div w:id="1430157129">
                              <w:marLeft w:val="0"/>
                              <w:marRight w:val="0"/>
                              <w:marTop w:val="0"/>
                              <w:marBottom w:val="0"/>
                              <w:divBdr>
                                <w:top w:val="none" w:sz="0" w:space="0" w:color="000000"/>
                                <w:left w:val="none" w:sz="0" w:space="0" w:color="000000"/>
                                <w:bottom w:val="none" w:sz="0" w:space="0" w:color="000000"/>
                                <w:right w:val="none" w:sz="0" w:space="0" w:color="000000"/>
                              </w:divBdr>
                              <w:divsChild>
                                <w:div w:id="18880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8210680">
      <w:bodyDiv w:val="1"/>
      <w:marLeft w:val="0"/>
      <w:marRight w:val="0"/>
      <w:marTop w:val="0"/>
      <w:marBottom w:val="0"/>
      <w:divBdr>
        <w:top w:val="none" w:sz="0" w:space="0" w:color="auto"/>
        <w:left w:val="none" w:sz="0" w:space="0" w:color="auto"/>
        <w:bottom w:val="none" w:sz="0" w:space="0" w:color="auto"/>
        <w:right w:val="none" w:sz="0" w:space="0" w:color="auto"/>
      </w:divBdr>
    </w:div>
    <w:div w:id="400182507">
      <w:bodyDiv w:val="1"/>
      <w:marLeft w:val="0"/>
      <w:marRight w:val="0"/>
      <w:marTop w:val="0"/>
      <w:marBottom w:val="0"/>
      <w:divBdr>
        <w:top w:val="none" w:sz="0" w:space="0" w:color="auto"/>
        <w:left w:val="none" w:sz="0" w:space="0" w:color="auto"/>
        <w:bottom w:val="none" w:sz="0" w:space="0" w:color="auto"/>
        <w:right w:val="none" w:sz="0" w:space="0" w:color="auto"/>
      </w:divBdr>
    </w:div>
    <w:div w:id="402798014">
      <w:bodyDiv w:val="1"/>
      <w:marLeft w:val="0"/>
      <w:marRight w:val="0"/>
      <w:marTop w:val="0"/>
      <w:marBottom w:val="0"/>
      <w:divBdr>
        <w:top w:val="none" w:sz="0" w:space="0" w:color="auto"/>
        <w:left w:val="none" w:sz="0" w:space="0" w:color="auto"/>
        <w:bottom w:val="none" w:sz="0" w:space="0" w:color="auto"/>
        <w:right w:val="none" w:sz="0" w:space="0" w:color="auto"/>
      </w:divBdr>
    </w:div>
    <w:div w:id="411508187">
      <w:bodyDiv w:val="1"/>
      <w:marLeft w:val="0"/>
      <w:marRight w:val="0"/>
      <w:marTop w:val="0"/>
      <w:marBottom w:val="0"/>
      <w:divBdr>
        <w:top w:val="none" w:sz="0" w:space="0" w:color="auto"/>
        <w:left w:val="none" w:sz="0" w:space="0" w:color="auto"/>
        <w:bottom w:val="none" w:sz="0" w:space="0" w:color="auto"/>
        <w:right w:val="none" w:sz="0" w:space="0" w:color="auto"/>
      </w:divBdr>
    </w:div>
    <w:div w:id="411509897">
      <w:bodyDiv w:val="1"/>
      <w:marLeft w:val="0"/>
      <w:marRight w:val="0"/>
      <w:marTop w:val="0"/>
      <w:marBottom w:val="0"/>
      <w:divBdr>
        <w:top w:val="none" w:sz="0" w:space="0" w:color="auto"/>
        <w:left w:val="none" w:sz="0" w:space="0" w:color="auto"/>
        <w:bottom w:val="none" w:sz="0" w:space="0" w:color="auto"/>
        <w:right w:val="none" w:sz="0" w:space="0" w:color="auto"/>
      </w:divBdr>
    </w:div>
    <w:div w:id="411702852">
      <w:bodyDiv w:val="1"/>
      <w:marLeft w:val="0"/>
      <w:marRight w:val="0"/>
      <w:marTop w:val="0"/>
      <w:marBottom w:val="0"/>
      <w:divBdr>
        <w:top w:val="none" w:sz="0" w:space="0" w:color="auto"/>
        <w:left w:val="none" w:sz="0" w:space="0" w:color="auto"/>
        <w:bottom w:val="none" w:sz="0" w:space="0" w:color="auto"/>
        <w:right w:val="none" w:sz="0" w:space="0" w:color="auto"/>
      </w:divBdr>
    </w:div>
    <w:div w:id="419183020">
      <w:bodyDiv w:val="1"/>
      <w:marLeft w:val="0"/>
      <w:marRight w:val="0"/>
      <w:marTop w:val="0"/>
      <w:marBottom w:val="0"/>
      <w:divBdr>
        <w:top w:val="none" w:sz="0" w:space="0" w:color="auto"/>
        <w:left w:val="none" w:sz="0" w:space="0" w:color="auto"/>
        <w:bottom w:val="none" w:sz="0" w:space="0" w:color="auto"/>
        <w:right w:val="none" w:sz="0" w:space="0" w:color="auto"/>
      </w:divBdr>
    </w:div>
    <w:div w:id="424301435">
      <w:bodyDiv w:val="1"/>
      <w:marLeft w:val="0"/>
      <w:marRight w:val="0"/>
      <w:marTop w:val="0"/>
      <w:marBottom w:val="0"/>
      <w:divBdr>
        <w:top w:val="none" w:sz="0" w:space="0" w:color="auto"/>
        <w:left w:val="none" w:sz="0" w:space="0" w:color="auto"/>
        <w:bottom w:val="none" w:sz="0" w:space="0" w:color="auto"/>
        <w:right w:val="none" w:sz="0" w:space="0" w:color="auto"/>
      </w:divBdr>
    </w:div>
    <w:div w:id="425538698">
      <w:bodyDiv w:val="1"/>
      <w:marLeft w:val="0"/>
      <w:marRight w:val="0"/>
      <w:marTop w:val="0"/>
      <w:marBottom w:val="0"/>
      <w:divBdr>
        <w:top w:val="none" w:sz="0" w:space="0" w:color="auto"/>
        <w:left w:val="none" w:sz="0" w:space="0" w:color="auto"/>
        <w:bottom w:val="none" w:sz="0" w:space="0" w:color="auto"/>
        <w:right w:val="none" w:sz="0" w:space="0" w:color="auto"/>
      </w:divBdr>
    </w:div>
    <w:div w:id="426385081">
      <w:bodyDiv w:val="1"/>
      <w:marLeft w:val="0"/>
      <w:marRight w:val="0"/>
      <w:marTop w:val="0"/>
      <w:marBottom w:val="0"/>
      <w:divBdr>
        <w:top w:val="none" w:sz="0" w:space="0" w:color="auto"/>
        <w:left w:val="none" w:sz="0" w:space="0" w:color="auto"/>
        <w:bottom w:val="none" w:sz="0" w:space="0" w:color="auto"/>
        <w:right w:val="none" w:sz="0" w:space="0" w:color="auto"/>
      </w:divBdr>
    </w:div>
    <w:div w:id="429475451">
      <w:bodyDiv w:val="1"/>
      <w:marLeft w:val="0"/>
      <w:marRight w:val="0"/>
      <w:marTop w:val="0"/>
      <w:marBottom w:val="0"/>
      <w:divBdr>
        <w:top w:val="none" w:sz="0" w:space="0" w:color="auto"/>
        <w:left w:val="none" w:sz="0" w:space="0" w:color="auto"/>
        <w:bottom w:val="none" w:sz="0" w:space="0" w:color="auto"/>
        <w:right w:val="none" w:sz="0" w:space="0" w:color="auto"/>
      </w:divBdr>
    </w:div>
    <w:div w:id="432937976">
      <w:bodyDiv w:val="1"/>
      <w:marLeft w:val="0"/>
      <w:marRight w:val="0"/>
      <w:marTop w:val="0"/>
      <w:marBottom w:val="0"/>
      <w:divBdr>
        <w:top w:val="none" w:sz="0" w:space="0" w:color="auto"/>
        <w:left w:val="none" w:sz="0" w:space="0" w:color="auto"/>
        <w:bottom w:val="none" w:sz="0" w:space="0" w:color="auto"/>
        <w:right w:val="none" w:sz="0" w:space="0" w:color="auto"/>
      </w:divBdr>
    </w:div>
    <w:div w:id="432941603">
      <w:bodyDiv w:val="1"/>
      <w:marLeft w:val="0"/>
      <w:marRight w:val="0"/>
      <w:marTop w:val="0"/>
      <w:marBottom w:val="0"/>
      <w:divBdr>
        <w:top w:val="none" w:sz="0" w:space="0" w:color="auto"/>
        <w:left w:val="none" w:sz="0" w:space="0" w:color="auto"/>
        <w:bottom w:val="none" w:sz="0" w:space="0" w:color="auto"/>
        <w:right w:val="none" w:sz="0" w:space="0" w:color="auto"/>
      </w:divBdr>
    </w:div>
    <w:div w:id="433866061">
      <w:bodyDiv w:val="1"/>
      <w:marLeft w:val="0"/>
      <w:marRight w:val="0"/>
      <w:marTop w:val="0"/>
      <w:marBottom w:val="0"/>
      <w:divBdr>
        <w:top w:val="none" w:sz="0" w:space="0" w:color="auto"/>
        <w:left w:val="none" w:sz="0" w:space="0" w:color="auto"/>
        <w:bottom w:val="none" w:sz="0" w:space="0" w:color="auto"/>
        <w:right w:val="none" w:sz="0" w:space="0" w:color="auto"/>
      </w:divBdr>
    </w:div>
    <w:div w:id="438838208">
      <w:bodyDiv w:val="1"/>
      <w:marLeft w:val="0"/>
      <w:marRight w:val="0"/>
      <w:marTop w:val="0"/>
      <w:marBottom w:val="0"/>
      <w:divBdr>
        <w:top w:val="none" w:sz="0" w:space="0" w:color="auto"/>
        <w:left w:val="none" w:sz="0" w:space="0" w:color="auto"/>
        <w:bottom w:val="none" w:sz="0" w:space="0" w:color="auto"/>
        <w:right w:val="none" w:sz="0" w:space="0" w:color="auto"/>
      </w:divBdr>
    </w:div>
    <w:div w:id="441271332">
      <w:bodyDiv w:val="1"/>
      <w:marLeft w:val="0"/>
      <w:marRight w:val="0"/>
      <w:marTop w:val="0"/>
      <w:marBottom w:val="0"/>
      <w:divBdr>
        <w:top w:val="none" w:sz="0" w:space="0" w:color="auto"/>
        <w:left w:val="none" w:sz="0" w:space="0" w:color="auto"/>
        <w:bottom w:val="none" w:sz="0" w:space="0" w:color="auto"/>
        <w:right w:val="none" w:sz="0" w:space="0" w:color="auto"/>
      </w:divBdr>
    </w:div>
    <w:div w:id="448092883">
      <w:bodyDiv w:val="1"/>
      <w:marLeft w:val="0"/>
      <w:marRight w:val="0"/>
      <w:marTop w:val="0"/>
      <w:marBottom w:val="0"/>
      <w:divBdr>
        <w:top w:val="none" w:sz="0" w:space="0" w:color="auto"/>
        <w:left w:val="none" w:sz="0" w:space="0" w:color="auto"/>
        <w:bottom w:val="none" w:sz="0" w:space="0" w:color="auto"/>
        <w:right w:val="none" w:sz="0" w:space="0" w:color="auto"/>
      </w:divBdr>
    </w:div>
    <w:div w:id="450057530">
      <w:bodyDiv w:val="1"/>
      <w:marLeft w:val="0"/>
      <w:marRight w:val="0"/>
      <w:marTop w:val="0"/>
      <w:marBottom w:val="0"/>
      <w:divBdr>
        <w:top w:val="none" w:sz="0" w:space="0" w:color="auto"/>
        <w:left w:val="none" w:sz="0" w:space="0" w:color="auto"/>
        <w:bottom w:val="none" w:sz="0" w:space="0" w:color="auto"/>
        <w:right w:val="none" w:sz="0" w:space="0" w:color="auto"/>
      </w:divBdr>
    </w:div>
    <w:div w:id="452871658">
      <w:bodyDiv w:val="1"/>
      <w:marLeft w:val="0"/>
      <w:marRight w:val="0"/>
      <w:marTop w:val="0"/>
      <w:marBottom w:val="0"/>
      <w:divBdr>
        <w:top w:val="none" w:sz="0" w:space="0" w:color="auto"/>
        <w:left w:val="none" w:sz="0" w:space="0" w:color="auto"/>
        <w:bottom w:val="none" w:sz="0" w:space="0" w:color="auto"/>
        <w:right w:val="none" w:sz="0" w:space="0" w:color="auto"/>
      </w:divBdr>
    </w:div>
    <w:div w:id="454643694">
      <w:bodyDiv w:val="1"/>
      <w:marLeft w:val="0"/>
      <w:marRight w:val="0"/>
      <w:marTop w:val="0"/>
      <w:marBottom w:val="0"/>
      <w:divBdr>
        <w:top w:val="none" w:sz="0" w:space="0" w:color="auto"/>
        <w:left w:val="none" w:sz="0" w:space="0" w:color="auto"/>
        <w:bottom w:val="none" w:sz="0" w:space="0" w:color="auto"/>
        <w:right w:val="none" w:sz="0" w:space="0" w:color="auto"/>
      </w:divBdr>
    </w:div>
    <w:div w:id="456609468">
      <w:bodyDiv w:val="1"/>
      <w:marLeft w:val="0"/>
      <w:marRight w:val="0"/>
      <w:marTop w:val="0"/>
      <w:marBottom w:val="0"/>
      <w:divBdr>
        <w:top w:val="none" w:sz="0" w:space="0" w:color="auto"/>
        <w:left w:val="none" w:sz="0" w:space="0" w:color="auto"/>
        <w:bottom w:val="none" w:sz="0" w:space="0" w:color="auto"/>
        <w:right w:val="none" w:sz="0" w:space="0" w:color="auto"/>
      </w:divBdr>
    </w:div>
    <w:div w:id="456992658">
      <w:bodyDiv w:val="1"/>
      <w:marLeft w:val="0"/>
      <w:marRight w:val="0"/>
      <w:marTop w:val="0"/>
      <w:marBottom w:val="0"/>
      <w:divBdr>
        <w:top w:val="none" w:sz="0" w:space="0" w:color="auto"/>
        <w:left w:val="none" w:sz="0" w:space="0" w:color="auto"/>
        <w:bottom w:val="none" w:sz="0" w:space="0" w:color="auto"/>
        <w:right w:val="none" w:sz="0" w:space="0" w:color="auto"/>
      </w:divBdr>
    </w:div>
    <w:div w:id="467210931">
      <w:bodyDiv w:val="1"/>
      <w:marLeft w:val="0"/>
      <w:marRight w:val="0"/>
      <w:marTop w:val="0"/>
      <w:marBottom w:val="0"/>
      <w:divBdr>
        <w:top w:val="none" w:sz="0" w:space="0" w:color="auto"/>
        <w:left w:val="none" w:sz="0" w:space="0" w:color="auto"/>
        <w:bottom w:val="none" w:sz="0" w:space="0" w:color="auto"/>
        <w:right w:val="none" w:sz="0" w:space="0" w:color="auto"/>
      </w:divBdr>
    </w:div>
    <w:div w:id="468980116">
      <w:bodyDiv w:val="1"/>
      <w:marLeft w:val="0"/>
      <w:marRight w:val="0"/>
      <w:marTop w:val="0"/>
      <w:marBottom w:val="0"/>
      <w:divBdr>
        <w:top w:val="none" w:sz="0" w:space="0" w:color="auto"/>
        <w:left w:val="none" w:sz="0" w:space="0" w:color="auto"/>
        <w:bottom w:val="none" w:sz="0" w:space="0" w:color="auto"/>
        <w:right w:val="none" w:sz="0" w:space="0" w:color="auto"/>
      </w:divBdr>
    </w:div>
    <w:div w:id="470024412">
      <w:bodyDiv w:val="1"/>
      <w:marLeft w:val="0"/>
      <w:marRight w:val="0"/>
      <w:marTop w:val="0"/>
      <w:marBottom w:val="0"/>
      <w:divBdr>
        <w:top w:val="none" w:sz="0" w:space="0" w:color="auto"/>
        <w:left w:val="none" w:sz="0" w:space="0" w:color="auto"/>
        <w:bottom w:val="none" w:sz="0" w:space="0" w:color="auto"/>
        <w:right w:val="none" w:sz="0" w:space="0" w:color="auto"/>
      </w:divBdr>
    </w:div>
    <w:div w:id="475223227">
      <w:bodyDiv w:val="1"/>
      <w:marLeft w:val="0"/>
      <w:marRight w:val="0"/>
      <w:marTop w:val="0"/>
      <w:marBottom w:val="0"/>
      <w:divBdr>
        <w:top w:val="none" w:sz="0" w:space="0" w:color="auto"/>
        <w:left w:val="none" w:sz="0" w:space="0" w:color="auto"/>
        <w:bottom w:val="none" w:sz="0" w:space="0" w:color="auto"/>
        <w:right w:val="none" w:sz="0" w:space="0" w:color="auto"/>
      </w:divBdr>
    </w:div>
    <w:div w:id="476384742">
      <w:bodyDiv w:val="1"/>
      <w:marLeft w:val="0"/>
      <w:marRight w:val="0"/>
      <w:marTop w:val="0"/>
      <w:marBottom w:val="0"/>
      <w:divBdr>
        <w:top w:val="none" w:sz="0" w:space="0" w:color="auto"/>
        <w:left w:val="none" w:sz="0" w:space="0" w:color="auto"/>
        <w:bottom w:val="none" w:sz="0" w:space="0" w:color="auto"/>
        <w:right w:val="none" w:sz="0" w:space="0" w:color="auto"/>
      </w:divBdr>
    </w:div>
    <w:div w:id="478037759">
      <w:bodyDiv w:val="1"/>
      <w:marLeft w:val="0"/>
      <w:marRight w:val="0"/>
      <w:marTop w:val="0"/>
      <w:marBottom w:val="0"/>
      <w:divBdr>
        <w:top w:val="none" w:sz="0" w:space="0" w:color="auto"/>
        <w:left w:val="none" w:sz="0" w:space="0" w:color="auto"/>
        <w:bottom w:val="none" w:sz="0" w:space="0" w:color="auto"/>
        <w:right w:val="none" w:sz="0" w:space="0" w:color="auto"/>
      </w:divBdr>
    </w:div>
    <w:div w:id="480924580">
      <w:bodyDiv w:val="1"/>
      <w:marLeft w:val="0"/>
      <w:marRight w:val="0"/>
      <w:marTop w:val="0"/>
      <w:marBottom w:val="0"/>
      <w:divBdr>
        <w:top w:val="none" w:sz="0" w:space="0" w:color="auto"/>
        <w:left w:val="none" w:sz="0" w:space="0" w:color="auto"/>
        <w:bottom w:val="none" w:sz="0" w:space="0" w:color="auto"/>
        <w:right w:val="none" w:sz="0" w:space="0" w:color="auto"/>
      </w:divBdr>
    </w:div>
    <w:div w:id="481627484">
      <w:bodyDiv w:val="1"/>
      <w:marLeft w:val="0"/>
      <w:marRight w:val="0"/>
      <w:marTop w:val="0"/>
      <w:marBottom w:val="0"/>
      <w:divBdr>
        <w:top w:val="none" w:sz="0" w:space="0" w:color="auto"/>
        <w:left w:val="none" w:sz="0" w:space="0" w:color="auto"/>
        <w:bottom w:val="none" w:sz="0" w:space="0" w:color="auto"/>
        <w:right w:val="none" w:sz="0" w:space="0" w:color="auto"/>
      </w:divBdr>
    </w:div>
    <w:div w:id="483395865">
      <w:bodyDiv w:val="1"/>
      <w:marLeft w:val="0"/>
      <w:marRight w:val="0"/>
      <w:marTop w:val="0"/>
      <w:marBottom w:val="0"/>
      <w:divBdr>
        <w:top w:val="none" w:sz="0" w:space="0" w:color="auto"/>
        <w:left w:val="none" w:sz="0" w:space="0" w:color="auto"/>
        <w:bottom w:val="none" w:sz="0" w:space="0" w:color="auto"/>
        <w:right w:val="none" w:sz="0" w:space="0" w:color="auto"/>
      </w:divBdr>
    </w:div>
    <w:div w:id="484127007">
      <w:bodyDiv w:val="1"/>
      <w:marLeft w:val="0"/>
      <w:marRight w:val="0"/>
      <w:marTop w:val="0"/>
      <w:marBottom w:val="0"/>
      <w:divBdr>
        <w:top w:val="none" w:sz="0" w:space="0" w:color="auto"/>
        <w:left w:val="none" w:sz="0" w:space="0" w:color="auto"/>
        <w:bottom w:val="none" w:sz="0" w:space="0" w:color="auto"/>
        <w:right w:val="none" w:sz="0" w:space="0" w:color="auto"/>
      </w:divBdr>
    </w:div>
    <w:div w:id="484514835">
      <w:bodyDiv w:val="1"/>
      <w:marLeft w:val="0"/>
      <w:marRight w:val="0"/>
      <w:marTop w:val="0"/>
      <w:marBottom w:val="0"/>
      <w:divBdr>
        <w:top w:val="none" w:sz="0" w:space="0" w:color="auto"/>
        <w:left w:val="none" w:sz="0" w:space="0" w:color="auto"/>
        <w:bottom w:val="none" w:sz="0" w:space="0" w:color="auto"/>
        <w:right w:val="none" w:sz="0" w:space="0" w:color="auto"/>
      </w:divBdr>
    </w:div>
    <w:div w:id="489714391">
      <w:bodyDiv w:val="1"/>
      <w:marLeft w:val="0"/>
      <w:marRight w:val="0"/>
      <w:marTop w:val="0"/>
      <w:marBottom w:val="0"/>
      <w:divBdr>
        <w:top w:val="none" w:sz="0" w:space="0" w:color="auto"/>
        <w:left w:val="none" w:sz="0" w:space="0" w:color="auto"/>
        <w:bottom w:val="none" w:sz="0" w:space="0" w:color="auto"/>
        <w:right w:val="none" w:sz="0" w:space="0" w:color="auto"/>
      </w:divBdr>
    </w:div>
    <w:div w:id="491022779">
      <w:bodyDiv w:val="1"/>
      <w:marLeft w:val="0"/>
      <w:marRight w:val="0"/>
      <w:marTop w:val="0"/>
      <w:marBottom w:val="0"/>
      <w:divBdr>
        <w:top w:val="none" w:sz="0" w:space="0" w:color="auto"/>
        <w:left w:val="none" w:sz="0" w:space="0" w:color="auto"/>
        <w:bottom w:val="none" w:sz="0" w:space="0" w:color="auto"/>
        <w:right w:val="none" w:sz="0" w:space="0" w:color="auto"/>
      </w:divBdr>
    </w:div>
    <w:div w:id="493424278">
      <w:bodyDiv w:val="1"/>
      <w:marLeft w:val="0"/>
      <w:marRight w:val="0"/>
      <w:marTop w:val="0"/>
      <w:marBottom w:val="0"/>
      <w:divBdr>
        <w:top w:val="none" w:sz="0" w:space="0" w:color="auto"/>
        <w:left w:val="none" w:sz="0" w:space="0" w:color="auto"/>
        <w:bottom w:val="none" w:sz="0" w:space="0" w:color="auto"/>
        <w:right w:val="none" w:sz="0" w:space="0" w:color="auto"/>
      </w:divBdr>
    </w:div>
    <w:div w:id="494804802">
      <w:bodyDiv w:val="1"/>
      <w:marLeft w:val="0"/>
      <w:marRight w:val="0"/>
      <w:marTop w:val="0"/>
      <w:marBottom w:val="0"/>
      <w:divBdr>
        <w:top w:val="none" w:sz="0" w:space="0" w:color="auto"/>
        <w:left w:val="none" w:sz="0" w:space="0" w:color="auto"/>
        <w:bottom w:val="none" w:sz="0" w:space="0" w:color="auto"/>
        <w:right w:val="none" w:sz="0" w:space="0" w:color="auto"/>
      </w:divBdr>
    </w:div>
    <w:div w:id="496193634">
      <w:bodyDiv w:val="1"/>
      <w:marLeft w:val="0"/>
      <w:marRight w:val="0"/>
      <w:marTop w:val="0"/>
      <w:marBottom w:val="0"/>
      <w:divBdr>
        <w:top w:val="none" w:sz="0" w:space="0" w:color="auto"/>
        <w:left w:val="none" w:sz="0" w:space="0" w:color="auto"/>
        <w:bottom w:val="none" w:sz="0" w:space="0" w:color="auto"/>
        <w:right w:val="none" w:sz="0" w:space="0" w:color="auto"/>
      </w:divBdr>
    </w:div>
    <w:div w:id="497354118">
      <w:bodyDiv w:val="1"/>
      <w:marLeft w:val="0"/>
      <w:marRight w:val="0"/>
      <w:marTop w:val="0"/>
      <w:marBottom w:val="0"/>
      <w:divBdr>
        <w:top w:val="none" w:sz="0" w:space="0" w:color="auto"/>
        <w:left w:val="none" w:sz="0" w:space="0" w:color="auto"/>
        <w:bottom w:val="none" w:sz="0" w:space="0" w:color="auto"/>
        <w:right w:val="none" w:sz="0" w:space="0" w:color="auto"/>
      </w:divBdr>
    </w:div>
    <w:div w:id="497968427">
      <w:bodyDiv w:val="1"/>
      <w:marLeft w:val="0"/>
      <w:marRight w:val="0"/>
      <w:marTop w:val="0"/>
      <w:marBottom w:val="0"/>
      <w:divBdr>
        <w:top w:val="none" w:sz="0" w:space="0" w:color="auto"/>
        <w:left w:val="none" w:sz="0" w:space="0" w:color="auto"/>
        <w:bottom w:val="none" w:sz="0" w:space="0" w:color="auto"/>
        <w:right w:val="none" w:sz="0" w:space="0" w:color="auto"/>
      </w:divBdr>
    </w:div>
    <w:div w:id="500200559">
      <w:bodyDiv w:val="1"/>
      <w:marLeft w:val="0"/>
      <w:marRight w:val="0"/>
      <w:marTop w:val="0"/>
      <w:marBottom w:val="0"/>
      <w:divBdr>
        <w:top w:val="none" w:sz="0" w:space="0" w:color="auto"/>
        <w:left w:val="none" w:sz="0" w:space="0" w:color="auto"/>
        <w:bottom w:val="none" w:sz="0" w:space="0" w:color="auto"/>
        <w:right w:val="none" w:sz="0" w:space="0" w:color="auto"/>
      </w:divBdr>
    </w:div>
    <w:div w:id="502355546">
      <w:bodyDiv w:val="1"/>
      <w:marLeft w:val="0"/>
      <w:marRight w:val="0"/>
      <w:marTop w:val="0"/>
      <w:marBottom w:val="0"/>
      <w:divBdr>
        <w:top w:val="none" w:sz="0" w:space="0" w:color="auto"/>
        <w:left w:val="none" w:sz="0" w:space="0" w:color="auto"/>
        <w:bottom w:val="none" w:sz="0" w:space="0" w:color="auto"/>
        <w:right w:val="none" w:sz="0" w:space="0" w:color="auto"/>
      </w:divBdr>
    </w:div>
    <w:div w:id="502404694">
      <w:bodyDiv w:val="1"/>
      <w:marLeft w:val="0"/>
      <w:marRight w:val="0"/>
      <w:marTop w:val="0"/>
      <w:marBottom w:val="0"/>
      <w:divBdr>
        <w:top w:val="none" w:sz="0" w:space="0" w:color="auto"/>
        <w:left w:val="none" w:sz="0" w:space="0" w:color="auto"/>
        <w:bottom w:val="none" w:sz="0" w:space="0" w:color="auto"/>
        <w:right w:val="none" w:sz="0" w:space="0" w:color="auto"/>
      </w:divBdr>
    </w:div>
    <w:div w:id="506139816">
      <w:bodyDiv w:val="1"/>
      <w:marLeft w:val="0"/>
      <w:marRight w:val="0"/>
      <w:marTop w:val="0"/>
      <w:marBottom w:val="0"/>
      <w:divBdr>
        <w:top w:val="none" w:sz="0" w:space="0" w:color="auto"/>
        <w:left w:val="none" w:sz="0" w:space="0" w:color="auto"/>
        <w:bottom w:val="none" w:sz="0" w:space="0" w:color="auto"/>
        <w:right w:val="none" w:sz="0" w:space="0" w:color="auto"/>
      </w:divBdr>
    </w:div>
    <w:div w:id="510292996">
      <w:bodyDiv w:val="1"/>
      <w:marLeft w:val="0"/>
      <w:marRight w:val="0"/>
      <w:marTop w:val="0"/>
      <w:marBottom w:val="0"/>
      <w:divBdr>
        <w:top w:val="none" w:sz="0" w:space="0" w:color="auto"/>
        <w:left w:val="none" w:sz="0" w:space="0" w:color="auto"/>
        <w:bottom w:val="none" w:sz="0" w:space="0" w:color="auto"/>
        <w:right w:val="none" w:sz="0" w:space="0" w:color="auto"/>
      </w:divBdr>
    </w:div>
    <w:div w:id="511727183">
      <w:bodyDiv w:val="1"/>
      <w:marLeft w:val="0"/>
      <w:marRight w:val="0"/>
      <w:marTop w:val="0"/>
      <w:marBottom w:val="0"/>
      <w:divBdr>
        <w:top w:val="none" w:sz="0" w:space="0" w:color="auto"/>
        <w:left w:val="none" w:sz="0" w:space="0" w:color="auto"/>
        <w:bottom w:val="none" w:sz="0" w:space="0" w:color="auto"/>
        <w:right w:val="none" w:sz="0" w:space="0" w:color="auto"/>
      </w:divBdr>
    </w:div>
    <w:div w:id="512426667">
      <w:bodyDiv w:val="1"/>
      <w:marLeft w:val="0"/>
      <w:marRight w:val="0"/>
      <w:marTop w:val="0"/>
      <w:marBottom w:val="0"/>
      <w:divBdr>
        <w:top w:val="none" w:sz="0" w:space="0" w:color="auto"/>
        <w:left w:val="none" w:sz="0" w:space="0" w:color="auto"/>
        <w:bottom w:val="none" w:sz="0" w:space="0" w:color="auto"/>
        <w:right w:val="none" w:sz="0" w:space="0" w:color="auto"/>
      </w:divBdr>
    </w:div>
    <w:div w:id="514348588">
      <w:bodyDiv w:val="1"/>
      <w:marLeft w:val="0"/>
      <w:marRight w:val="0"/>
      <w:marTop w:val="0"/>
      <w:marBottom w:val="0"/>
      <w:divBdr>
        <w:top w:val="none" w:sz="0" w:space="0" w:color="auto"/>
        <w:left w:val="none" w:sz="0" w:space="0" w:color="auto"/>
        <w:bottom w:val="none" w:sz="0" w:space="0" w:color="auto"/>
        <w:right w:val="none" w:sz="0" w:space="0" w:color="auto"/>
      </w:divBdr>
    </w:div>
    <w:div w:id="518927580">
      <w:bodyDiv w:val="1"/>
      <w:marLeft w:val="0"/>
      <w:marRight w:val="0"/>
      <w:marTop w:val="0"/>
      <w:marBottom w:val="0"/>
      <w:divBdr>
        <w:top w:val="none" w:sz="0" w:space="0" w:color="auto"/>
        <w:left w:val="none" w:sz="0" w:space="0" w:color="auto"/>
        <w:bottom w:val="none" w:sz="0" w:space="0" w:color="auto"/>
        <w:right w:val="none" w:sz="0" w:space="0" w:color="auto"/>
      </w:divBdr>
    </w:div>
    <w:div w:id="519779381">
      <w:bodyDiv w:val="1"/>
      <w:marLeft w:val="0"/>
      <w:marRight w:val="0"/>
      <w:marTop w:val="0"/>
      <w:marBottom w:val="0"/>
      <w:divBdr>
        <w:top w:val="none" w:sz="0" w:space="0" w:color="auto"/>
        <w:left w:val="none" w:sz="0" w:space="0" w:color="auto"/>
        <w:bottom w:val="none" w:sz="0" w:space="0" w:color="auto"/>
        <w:right w:val="none" w:sz="0" w:space="0" w:color="auto"/>
      </w:divBdr>
    </w:div>
    <w:div w:id="520703706">
      <w:bodyDiv w:val="1"/>
      <w:marLeft w:val="0"/>
      <w:marRight w:val="0"/>
      <w:marTop w:val="0"/>
      <w:marBottom w:val="0"/>
      <w:divBdr>
        <w:top w:val="none" w:sz="0" w:space="0" w:color="auto"/>
        <w:left w:val="none" w:sz="0" w:space="0" w:color="auto"/>
        <w:bottom w:val="none" w:sz="0" w:space="0" w:color="auto"/>
        <w:right w:val="none" w:sz="0" w:space="0" w:color="auto"/>
      </w:divBdr>
    </w:div>
    <w:div w:id="525796009">
      <w:bodyDiv w:val="1"/>
      <w:marLeft w:val="0"/>
      <w:marRight w:val="0"/>
      <w:marTop w:val="0"/>
      <w:marBottom w:val="0"/>
      <w:divBdr>
        <w:top w:val="none" w:sz="0" w:space="0" w:color="auto"/>
        <w:left w:val="none" w:sz="0" w:space="0" w:color="auto"/>
        <w:bottom w:val="none" w:sz="0" w:space="0" w:color="auto"/>
        <w:right w:val="none" w:sz="0" w:space="0" w:color="auto"/>
      </w:divBdr>
    </w:div>
    <w:div w:id="526723013">
      <w:bodyDiv w:val="1"/>
      <w:marLeft w:val="0"/>
      <w:marRight w:val="0"/>
      <w:marTop w:val="0"/>
      <w:marBottom w:val="0"/>
      <w:divBdr>
        <w:top w:val="none" w:sz="0" w:space="0" w:color="auto"/>
        <w:left w:val="none" w:sz="0" w:space="0" w:color="auto"/>
        <w:bottom w:val="none" w:sz="0" w:space="0" w:color="auto"/>
        <w:right w:val="none" w:sz="0" w:space="0" w:color="auto"/>
      </w:divBdr>
    </w:div>
    <w:div w:id="528495712">
      <w:bodyDiv w:val="1"/>
      <w:marLeft w:val="0"/>
      <w:marRight w:val="0"/>
      <w:marTop w:val="0"/>
      <w:marBottom w:val="0"/>
      <w:divBdr>
        <w:top w:val="none" w:sz="0" w:space="0" w:color="auto"/>
        <w:left w:val="none" w:sz="0" w:space="0" w:color="auto"/>
        <w:bottom w:val="none" w:sz="0" w:space="0" w:color="auto"/>
        <w:right w:val="none" w:sz="0" w:space="0" w:color="auto"/>
      </w:divBdr>
    </w:div>
    <w:div w:id="529300806">
      <w:bodyDiv w:val="1"/>
      <w:marLeft w:val="0"/>
      <w:marRight w:val="0"/>
      <w:marTop w:val="0"/>
      <w:marBottom w:val="0"/>
      <w:divBdr>
        <w:top w:val="none" w:sz="0" w:space="0" w:color="auto"/>
        <w:left w:val="none" w:sz="0" w:space="0" w:color="auto"/>
        <w:bottom w:val="none" w:sz="0" w:space="0" w:color="auto"/>
        <w:right w:val="none" w:sz="0" w:space="0" w:color="auto"/>
      </w:divBdr>
    </w:div>
    <w:div w:id="529685079">
      <w:bodyDiv w:val="1"/>
      <w:marLeft w:val="0"/>
      <w:marRight w:val="0"/>
      <w:marTop w:val="0"/>
      <w:marBottom w:val="0"/>
      <w:divBdr>
        <w:top w:val="none" w:sz="0" w:space="0" w:color="auto"/>
        <w:left w:val="none" w:sz="0" w:space="0" w:color="auto"/>
        <w:bottom w:val="none" w:sz="0" w:space="0" w:color="auto"/>
        <w:right w:val="none" w:sz="0" w:space="0" w:color="auto"/>
      </w:divBdr>
    </w:div>
    <w:div w:id="530191391">
      <w:bodyDiv w:val="1"/>
      <w:marLeft w:val="0"/>
      <w:marRight w:val="0"/>
      <w:marTop w:val="0"/>
      <w:marBottom w:val="0"/>
      <w:divBdr>
        <w:top w:val="none" w:sz="0" w:space="0" w:color="auto"/>
        <w:left w:val="none" w:sz="0" w:space="0" w:color="auto"/>
        <w:bottom w:val="none" w:sz="0" w:space="0" w:color="auto"/>
        <w:right w:val="none" w:sz="0" w:space="0" w:color="auto"/>
      </w:divBdr>
    </w:div>
    <w:div w:id="531039545">
      <w:bodyDiv w:val="1"/>
      <w:marLeft w:val="0"/>
      <w:marRight w:val="0"/>
      <w:marTop w:val="0"/>
      <w:marBottom w:val="0"/>
      <w:divBdr>
        <w:top w:val="none" w:sz="0" w:space="0" w:color="auto"/>
        <w:left w:val="none" w:sz="0" w:space="0" w:color="auto"/>
        <w:bottom w:val="none" w:sz="0" w:space="0" w:color="auto"/>
        <w:right w:val="none" w:sz="0" w:space="0" w:color="auto"/>
      </w:divBdr>
    </w:div>
    <w:div w:id="531194147">
      <w:bodyDiv w:val="1"/>
      <w:marLeft w:val="0"/>
      <w:marRight w:val="0"/>
      <w:marTop w:val="0"/>
      <w:marBottom w:val="0"/>
      <w:divBdr>
        <w:top w:val="none" w:sz="0" w:space="0" w:color="auto"/>
        <w:left w:val="none" w:sz="0" w:space="0" w:color="auto"/>
        <w:bottom w:val="none" w:sz="0" w:space="0" w:color="auto"/>
        <w:right w:val="none" w:sz="0" w:space="0" w:color="auto"/>
      </w:divBdr>
    </w:div>
    <w:div w:id="531504663">
      <w:bodyDiv w:val="1"/>
      <w:marLeft w:val="0"/>
      <w:marRight w:val="0"/>
      <w:marTop w:val="0"/>
      <w:marBottom w:val="0"/>
      <w:divBdr>
        <w:top w:val="none" w:sz="0" w:space="0" w:color="auto"/>
        <w:left w:val="none" w:sz="0" w:space="0" w:color="auto"/>
        <w:bottom w:val="none" w:sz="0" w:space="0" w:color="auto"/>
        <w:right w:val="none" w:sz="0" w:space="0" w:color="auto"/>
      </w:divBdr>
    </w:div>
    <w:div w:id="531576470">
      <w:bodyDiv w:val="1"/>
      <w:marLeft w:val="0"/>
      <w:marRight w:val="0"/>
      <w:marTop w:val="0"/>
      <w:marBottom w:val="0"/>
      <w:divBdr>
        <w:top w:val="none" w:sz="0" w:space="0" w:color="auto"/>
        <w:left w:val="none" w:sz="0" w:space="0" w:color="auto"/>
        <w:bottom w:val="none" w:sz="0" w:space="0" w:color="auto"/>
        <w:right w:val="none" w:sz="0" w:space="0" w:color="auto"/>
      </w:divBdr>
    </w:div>
    <w:div w:id="538860782">
      <w:bodyDiv w:val="1"/>
      <w:marLeft w:val="0"/>
      <w:marRight w:val="0"/>
      <w:marTop w:val="0"/>
      <w:marBottom w:val="0"/>
      <w:divBdr>
        <w:top w:val="none" w:sz="0" w:space="0" w:color="auto"/>
        <w:left w:val="none" w:sz="0" w:space="0" w:color="auto"/>
        <w:bottom w:val="none" w:sz="0" w:space="0" w:color="auto"/>
        <w:right w:val="none" w:sz="0" w:space="0" w:color="auto"/>
      </w:divBdr>
    </w:div>
    <w:div w:id="547453963">
      <w:bodyDiv w:val="1"/>
      <w:marLeft w:val="0"/>
      <w:marRight w:val="0"/>
      <w:marTop w:val="0"/>
      <w:marBottom w:val="0"/>
      <w:divBdr>
        <w:top w:val="none" w:sz="0" w:space="0" w:color="auto"/>
        <w:left w:val="none" w:sz="0" w:space="0" w:color="auto"/>
        <w:bottom w:val="none" w:sz="0" w:space="0" w:color="auto"/>
        <w:right w:val="none" w:sz="0" w:space="0" w:color="auto"/>
      </w:divBdr>
    </w:div>
    <w:div w:id="550846122">
      <w:bodyDiv w:val="1"/>
      <w:marLeft w:val="0"/>
      <w:marRight w:val="0"/>
      <w:marTop w:val="0"/>
      <w:marBottom w:val="0"/>
      <w:divBdr>
        <w:top w:val="none" w:sz="0" w:space="0" w:color="auto"/>
        <w:left w:val="none" w:sz="0" w:space="0" w:color="auto"/>
        <w:bottom w:val="none" w:sz="0" w:space="0" w:color="auto"/>
        <w:right w:val="none" w:sz="0" w:space="0" w:color="auto"/>
      </w:divBdr>
    </w:div>
    <w:div w:id="552010312">
      <w:bodyDiv w:val="1"/>
      <w:marLeft w:val="0"/>
      <w:marRight w:val="0"/>
      <w:marTop w:val="0"/>
      <w:marBottom w:val="0"/>
      <w:divBdr>
        <w:top w:val="none" w:sz="0" w:space="0" w:color="auto"/>
        <w:left w:val="none" w:sz="0" w:space="0" w:color="auto"/>
        <w:bottom w:val="none" w:sz="0" w:space="0" w:color="auto"/>
        <w:right w:val="none" w:sz="0" w:space="0" w:color="auto"/>
      </w:divBdr>
    </w:div>
    <w:div w:id="560481061">
      <w:bodyDiv w:val="1"/>
      <w:marLeft w:val="0"/>
      <w:marRight w:val="0"/>
      <w:marTop w:val="0"/>
      <w:marBottom w:val="0"/>
      <w:divBdr>
        <w:top w:val="none" w:sz="0" w:space="0" w:color="auto"/>
        <w:left w:val="none" w:sz="0" w:space="0" w:color="auto"/>
        <w:bottom w:val="none" w:sz="0" w:space="0" w:color="auto"/>
        <w:right w:val="none" w:sz="0" w:space="0" w:color="auto"/>
      </w:divBdr>
    </w:div>
    <w:div w:id="570308102">
      <w:bodyDiv w:val="1"/>
      <w:marLeft w:val="0"/>
      <w:marRight w:val="0"/>
      <w:marTop w:val="0"/>
      <w:marBottom w:val="0"/>
      <w:divBdr>
        <w:top w:val="none" w:sz="0" w:space="0" w:color="auto"/>
        <w:left w:val="none" w:sz="0" w:space="0" w:color="auto"/>
        <w:bottom w:val="none" w:sz="0" w:space="0" w:color="auto"/>
        <w:right w:val="none" w:sz="0" w:space="0" w:color="auto"/>
      </w:divBdr>
    </w:div>
    <w:div w:id="570702248">
      <w:bodyDiv w:val="1"/>
      <w:marLeft w:val="0"/>
      <w:marRight w:val="0"/>
      <w:marTop w:val="0"/>
      <w:marBottom w:val="0"/>
      <w:divBdr>
        <w:top w:val="none" w:sz="0" w:space="0" w:color="auto"/>
        <w:left w:val="none" w:sz="0" w:space="0" w:color="auto"/>
        <w:bottom w:val="none" w:sz="0" w:space="0" w:color="auto"/>
        <w:right w:val="none" w:sz="0" w:space="0" w:color="auto"/>
      </w:divBdr>
    </w:div>
    <w:div w:id="580019356">
      <w:bodyDiv w:val="1"/>
      <w:marLeft w:val="0"/>
      <w:marRight w:val="0"/>
      <w:marTop w:val="0"/>
      <w:marBottom w:val="0"/>
      <w:divBdr>
        <w:top w:val="none" w:sz="0" w:space="0" w:color="auto"/>
        <w:left w:val="none" w:sz="0" w:space="0" w:color="auto"/>
        <w:bottom w:val="none" w:sz="0" w:space="0" w:color="auto"/>
        <w:right w:val="none" w:sz="0" w:space="0" w:color="auto"/>
      </w:divBdr>
    </w:div>
    <w:div w:id="587663393">
      <w:bodyDiv w:val="1"/>
      <w:marLeft w:val="0"/>
      <w:marRight w:val="0"/>
      <w:marTop w:val="0"/>
      <w:marBottom w:val="0"/>
      <w:divBdr>
        <w:top w:val="none" w:sz="0" w:space="0" w:color="auto"/>
        <w:left w:val="none" w:sz="0" w:space="0" w:color="auto"/>
        <w:bottom w:val="none" w:sz="0" w:space="0" w:color="auto"/>
        <w:right w:val="none" w:sz="0" w:space="0" w:color="auto"/>
      </w:divBdr>
    </w:div>
    <w:div w:id="588972932">
      <w:bodyDiv w:val="1"/>
      <w:marLeft w:val="0"/>
      <w:marRight w:val="0"/>
      <w:marTop w:val="0"/>
      <w:marBottom w:val="0"/>
      <w:divBdr>
        <w:top w:val="none" w:sz="0" w:space="0" w:color="auto"/>
        <w:left w:val="none" w:sz="0" w:space="0" w:color="auto"/>
        <w:bottom w:val="none" w:sz="0" w:space="0" w:color="auto"/>
        <w:right w:val="none" w:sz="0" w:space="0" w:color="auto"/>
      </w:divBdr>
    </w:div>
    <w:div w:id="593980900">
      <w:bodyDiv w:val="1"/>
      <w:marLeft w:val="0"/>
      <w:marRight w:val="0"/>
      <w:marTop w:val="0"/>
      <w:marBottom w:val="0"/>
      <w:divBdr>
        <w:top w:val="none" w:sz="0" w:space="0" w:color="auto"/>
        <w:left w:val="none" w:sz="0" w:space="0" w:color="auto"/>
        <w:bottom w:val="none" w:sz="0" w:space="0" w:color="auto"/>
        <w:right w:val="none" w:sz="0" w:space="0" w:color="auto"/>
      </w:divBdr>
    </w:div>
    <w:div w:id="598416741">
      <w:bodyDiv w:val="1"/>
      <w:marLeft w:val="0"/>
      <w:marRight w:val="0"/>
      <w:marTop w:val="0"/>
      <w:marBottom w:val="0"/>
      <w:divBdr>
        <w:top w:val="none" w:sz="0" w:space="0" w:color="auto"/>
        <w:left w:val="none" w:sz="0" w:space="0" w:color="auto"/>
        <w:bottom w:val="none" w:sz="0" w:space="0" w:color="auto"/>
        <w:right w:val="none" w:sz="0" w:space="0" w:color="auto"/>
      </w:divBdr>
    </w:div>
    <w:div w:id="600071099">
      <w:bodyDiv w:val="1"/>
      <w:marLeft w:val="0"/>
      <w:marRight w:val="0"/>
      <w:marTop w:val="0"/>
      <w:marBottom w:val="0"/>
      <w:divBdr>
        <w:top w:val="none" w:sz="0" w:space="0" w:color="auto"/>
        <w:left w:val="none" w:sz="0" w:space="0" w:color="auto"/>
        <w:bottom w:val="none" w:sz="0" w:space="0" w:color="auto"/>
        <w:right w:val="none" w:sz="0" w:space="0" w:color="auto"/>
      </w:divBdr>
    </w:div>
    <w:div w:id="601452235">
      <w:bodyDiv w:val="1"/>
      <w:marLeft w:val="0"/>
      <w:marRight w:val="0"/>
      <w:marTop w:val="0"/>
      <w:marBottom w:val="0"/>
      <w:divBdr>
        <w:top w:val="none" w:sz="0" w:space="0" w:color="auto"/>
        <w:left w:val="none" w:sz="0" w:space="0" w:color="auto"/>
        <w:bottom w:val="none" w:sz="0" w:space="0" w:color="auto"/>
        <w:right w:val="none" w:sz="0" w:space="0" w:color="auto"/>
      </w:divBdr>
    </w:div>
    <w:div w:id="602497226">
      <w:bodyDiv w:val="1"/>
      <w:marLeft w:val="0"/>
      <w:marRight w:val="0"/>
      <w:marTop w:val="0"/>
      <w:marBottom w:val="0"/>
      <w:divBdr>
        <w:top w:val="none" w:sz="0" w:space="0" w:color="auto"/>
        <w:left w:val="none" w:sz="0" w:space="0" w:color="auto"/>
        <w:bottom w:val="none" w:sz="0" w:space="0" w:color="auto"/>
        <w:right w:val="none" w:sz="0" w:space="0" w:color="auto"/>
      </w:divBdr>
    </w:div>
    <w:div w:id="603659143">
      <w:bodyDiv w:val="1"/>
      <w:marLeft w:val="0"/>
      <w:marRight w:val="0"/>
      <w:marTop w:val="0"/>
      <w:marBottom w:val="0"/>
      <w:divBdr>
        <w:top w:val="none" w:sz="0" w:space="0" w:color="auto"/>
        <w:left w:val="none" w:sz="0" w:space="0" w:color="auto"/>
        <w:bottom w:val="none" w:sz="0" w:space="0" w:color="auto"/>
        <w:right w:val="none" w:sz="0" w:space="0" w:color="auto"/>
      </w:divBdr>
    </w:div>
    <w:div w:id="606085391">
      <w:bodyDiv w:val="1"/>
      <w:marLeft w:val="0"/>
      <w:marRight w:val="0"/>
      <w:marTop w:val="0"/>
      <w:marBottom w:val="0"/>
      <w:divBdr>
        <w:top w:val="none" w:sz="0" w:space="0" w:color="auto"/>
        <w:left w:val="none" w:sz="0" w:space="0" w:color="auto"/>
        <w:bottom w:val="none" w:sz="0" w:space="0" w:color="auto"/>
        <w:right w:val="none" w:sz="0" w:space="0" w:color="auto"/>
      </w:divBdr>
    </w:div>
    <w:div w:id="608582389">
      <w:bodyDiv w:val="1"/>
      <w:marLeft w:val="0"/>
      <w:marRight w:val="0"/>
      <w:marTop w:val="0"/>
      <w:marBottom w:val="0"/>
      <w:divBdr>
        <w:top w:val="none" w:sz="0" w:space="0" w:color="auto"/>
        <w:left w:val="none" w:sz="0" w:space="0" w:color="auto"/>
        <w:bottom w:val="none" w:sz="0" w:space="0" w:color="auto"/>
        <w:right w:val="none" w:sz="0" w:space="0" w:color="auto"/>
      </w:divBdr>
    </w:div>
    <w:div w:id="611089032">
      <w:bodyDiv w:val="1"/>
      <w:marLeft w:val="0"/>
      <w:marRight w:val="0"/>
      <w:marTop w:val="0"/>
      <w:marBottom w:val="0"/>
      <w:divBdr>
        <w:top w:val="none" w:sz="0" w:space="0" w:color="auto"/>
        <w:left w:val="none" w:sz="0" w:space="0" w:color="auto"/>
        <w:bottom w:val="none" w:sz="0" w:space="0" w:color="auto"/>
        <w:right w:val="none" w:sz="0" w:space="0" w:color="auto"/>
      </w:divBdr>
    </w:div>
    <w:div w:id="611548377">
      <w:bodyDiv w:val="1"/>
      <w:marLeft w:val="0"/>
      <w:marRight w:val="0"/>
      <w:marTop w:val="0"/>
      <w:marBottom w:val="0"/>
      <w:divBdr>
        <w:top w:val="none" w:sz="0" w:space="0" w:color="auto"/>
        <w:left w:val="none" w:sz="0" w:space="0" w:color="auto"/>
        <w:bottom w:val="none" w:sz="0" w:space="0" w:color="auto"/>
        <w:right w:val="none" w:sz="0" w:space="0" w:color="auto"/>
      </w:divBdr>
    </w:div>
    <w:div w:id="613366180">
      <w:bodyDiv w:val="1"/>
      <w:marLeft w:val="0"/>
      <w:marRight w:val="0"/>
      <w:marTop w:val="0"/>
      <w:marBottom w:val="0"/>
      <w:divBdr>
        <w:top w:val="none" w:sz="0" w:space="0" w:color="auto"/>
        <w:left w:val="none" w:sz="0" w:space="0" w:color="auto"/>
        <w:bottom w:val="none" w:sz="0" w:space="0" w:color="auto"/>
        <w:right w:val="none" w:sz="0" w:space="0" w:color="auto"/>
      </w:divBdr>
    </w:div>
    <w:div w:id="618991707">
      <w:bodyDiv w:val="1"/>
      <w:marLeft w:val="0"/>
      <w:marRight w:val="0"/>
      <w:marTop w:val="0"/>
      <w:marBottom w:val="0"/>
      <w:divBdr>
        <w:top w:val="none" w:sz="0" w:space="0" w:color="auto"/>
        <w:left w:val="none" w:sz="0" w:space="0" w:color="auto"/>
        <w:bottom w:val="none" w:sz="0" w:space="0" w:color="auto"/>
        <w:right w:val="none" w:sz="0" w:space="0" w:color="auto"/>
      </w:divBdr>
    </w:div>
    <w:div w:id="620502393">
      <w:bodyDiv w:val="1"/>
      <w:marLeft w:val="0"/>
      <w:marRight w:val="0"/>
      <w:marTop w:val="0"/>
      <w:marBottom w:val="0"/>
      <w:divBdr>
        <w:top w:val="none" w:sz="0" w:space="0" w:color="auto"/>
        <w:left w:val="none" w:sz="0" w:space="0" w:color="auto"/>
        <w:bottom w:val="none" w:sz="0" w:space="0" w:color="auto"/>
        <w:right w:val="none" w:sz="0" w:space="0" w:color="auto"/>
      </w:divBdr>
    </w:div>
    <w:div w:id="620569784">
      <w:bodyDiv w:val="1"/>
      <w:marLeft w:val="0"/>
      <w:marRight w:val="0"/>
      <w:marTop w:val="0"/>
      <w:marBottom w:val="0"/>
      <w:divBdr>
        <w:top w:val="none" w:sz="0" w:space="0" w:color="auto"/>
        <w:left w:val="none" w:sz="0" w:space="0" w:color="auto"/>
        <w:bottom w:val="none" w:sz="0" w:space="0" w:color="auto"/>
        <w:right w:val="none" w:sz="0" w:space="0" w:color="auto"/>
      </w:divBdr>
    </w:div>
    <w:div w:id="620570557">
      <w:bodyDiv w:val="1"/>
      <w:marLeft w:val="0"/>
      <w:marRight w:val="0"/>
      <w:marTop w:val="0"/>
      <w:marBottom w:val="0"/>
      <w:divBdr>
        <w:top w:val="none" w:sz="0" w:space="0" w:color="auto"/>
        <w:left w:val="none" w:sz="0" w:space="0" w:color="auto"/>
        <w:bottom w:val="none" w:sz="0" w:space="0" w:color="auto"/>
        <w:right w:val="none" w:sz="0" w:space="0" w:color="auto"/>
      </w:divBdr>
    </w:div>
    <w:div w:id="630600429">
      <w:bodyDiv w:val="1"/>
      <w:marLeft w:val="0"/>
      <w:marRight w:val="0"/>
      <w:marTop w:val="0"/>
      <w:marBottom w:val="0"/>
      <w:divBdr>
        <w:top w:val="none" w:sz="0" w:space="0" w:color="auto"/>
        <w:left w:val="none" w:sz="0" w:space="0" w:color="auto"/>
        <w:bottom w:val="none" w:sz="0" w:space="0" w:color="auto"/>
        <w:right w:val="none" w:sz="0" w:space="0" w:color="auto"/>
      </w:divBdr>
    </w:div>
    <w:div w:id="632557847">
      <w:bodyDiv w:val="1"/>
      <w:marLeft w:val="0"/>
      <w:marRight w:val="0"/>
      <w:marTop w:val="0"/>
      <w:marBottom w:val="0"/>
      <w:divBdr>
        <w:top w:val="none" w:sz="0" w:space="0" w:color="auto"/>
        <w:left w:val="none" w:sz="0" w:space="0" w:color="auto"/>
        <w:bottom w:val="none" w:sz="0" w:space="0" w:color="auto"/>
        <w:right w:val="none" w:sz="0" w:space="0" w:color="auto"/>
      </w:divBdr>
    </w:div>
    <w:div w:id="633486278">
      <w:bodyDiv w:val="1"/>
      <w:marLeft w:val="0"/>
      <w:marRight w:val="0"/>
      <w:marTop w:val="0"/>
      <w:marBottom w:val="0"/>
      <w:divBdr>
        <w:top w:val="none" w:sz="0" w:space="0" w:color="auto"/>
        <w:left w:val="none" w:sz="0" w:space="0" w:color="auto"/>
        <w:bottom w:val="none" w:sz="0" w:space="0" w:color="auto"/>
        <w:right w:val="none" w:sz="0" w:space="0" w:color="auto"/>
      </w:divBdr>
    </w:div>
    <w:div w:id="634333502">
      <w:bodyDiv w:val="1"/>
      <w:marLeft w:val="0"/>
      <w:marRight w:val="0"/>
      <w:marTop w:val="0"/>
      <w:marBottom w:val="0"/>
      <w:divBdr>
        <w:top w:val="none" w:sz="0" w:space="0" w:color="auto"/>
        <w:left w:val="none" w:sz="0" w:space="0" w:color="auto"/>
        <w:bottom w:val="none" w:sz="0" w:space="0" w:color="auto"/>
        <w:right w:val="none" w:sz="0" w:space="0" w:color="auto"/>
      </w:divBdr>
    </w:div>
    <w:div w:id="638458985">
      <w:bodyDiv w:val="1"/>
      <w:marLeft w:val="0"/>
      <w:marRight w:val="0"/>
      <w:marTop w:val="0"/>
      <w:marBottom w:val="0"/>
      <w:divBdr>
        <w:top w:val="none" w:sz="0" w:space="0" w:color="auto"/>
        <w:left w:val="none" w:sz="0" w:space="0" w:color="auto"/>
        <w:bottom w:val="none" w:sz="0" w:space="0" w:color="auto"/>
        <w:right w:val="none" w:sz="0" w:space="0" w:color="auto"/>
      </w:divBdr>
    </w:div>
    <w:div w:id="643630366">
      <w:bodyDiv w:val="1"/>
      <w:marLeft w:val="0"/>
      <w:marRight w:val="0"/>
      <w:marTop w:val="0"/>
      <w:marBottom w:val="0"/>
      <w:divBdr>
        <w:top w:val="none" w:sz="0" w:space="0" w:color="auto"/>
        <w:left w:val="none" w:sz="0" w:space="0" w:color="auto"/>
        <w:bottom w:val="none" w:sz="0" w:space="0" w:color="auto"/>
        <w:right w:val="none" w:sz="0" w:space="0" w:color="auto"/>
      </w:divBdr>
    </w:div>
    <w:div w:id="644819829">
      <w:bodyDiv w:val="1"/>
      <w:marLeft w:val="0"/>
      <w:marRight w:val="0"/>
      <w:marTop w:val="0"/>
      <w:marBottom w:val="0"/>
      <w:divBdr>
        <w:top w:val="none" w:sz="0" w:space="0" w:color="auto"/>
        <w:left w:val="none" w:sz="0" w:space="0" w:color="auto"/>
        <w:bottom w:val="none" w:sz="0" w:space="0" w:color="auto"/>
        <w:right w:val="none" w:sz="0" w:space="0" w:color="auto"/>
      </w:divBdr>
    </w:div>
    <w:div w:id="645087404">
      <w:bodyDiv w:val="1"/>
      <w:marLeft w:val="0"/>
      <w:marRight w:val="0"/>
      <w:marTop w:val="0"/>
      <w:marBottom w:val="0"/>
      <w:divBdr>
        <w:top w:val="none" w:sz="0" w:space="0" w:color="auto"/>
        <w:left w:val="none" w:sz="0" w:space="0" w:color="auto"/>
        <w:bottom w:val="none" w:sz="0" w:space="0" w:color="auto"/>
        <w:right w:val="none" w:sz="0" w:space="0" w:color="auto"/>
      </w:divBdr>
    </w:div>
    <w:div w:id="645554337">
      <w:bodyDiv w:val="1"/>
      <w:marLeft w:val="0"/>
      <w:marRight w:val="0"/>
      <w:marTop w:val="0"/>
      <w:marBottom w:val="0"/>
      <w:divBdr>
        <w:top w:val="none" w:sz="0" w:space="0" w:color="auto"/>
        <w:left w:val="none" w:sz="0" w:space="0" w:color="auto"/>
        <w:bottom w:val="none" w:sz="0" w:space="0" w:color="auto"/>
        <w:right w:val="none" w:sz="0" w:space="0" w:color="auto"/>
      </w:divBdr>
    </w:div>
    <w:div w:id="650254253">
      <w:bodyDiv w:val="1"/>
      <w:marLeft w:val="0"/>
      <w:marRight w:val="0"/>
      <w:marTop w:val="0"/>
      <w:marBottom w:val="0"/>
      <w:divBdr>
        <w:top w:val="none" w:sz="0" w:space="0" w:color="auto"/>
        <w:left w:val="none" w:sz="0" w:space="0" w:color="auto"/>
        <w:bottom w:val="none" w:sz="0" w:space="0" w:color="auto"/>
        <w:right w:val="none" w:sz="0" w:space="0" w:color="auto"/>
      </w:divBdr>
    </w:div>
    <w:div w:id="652562187">
      <w:bodyDiv w:val="1"/>
      <w:marLeft w:val="0"/>
      <w:marRight w:val="0"/>
      <w:marTop w:val="0"/>
      <w:marBottom w:val="0"/>
      <w:divBdr>
        <w:top w:val="none" w:sz="0" w:space="0" w:color="auto"/>
        <w:left w:val="none" w:sz="0" w:space="0" w:color="auto"/>
        <w:bottom w:val="none" w:sz="0" w:space="0" w:color="auto"/>
        <w:right w:val="none" w:sz="0" w:space="0" w:color="auto"/>
      </w:divBdr>
    </w:div>
    <w:div w:id="653024851">
      <w:bodyDiv w:val="1"/>
      <w:marLeft w:val="0"/>
      <w:marRight w:val="0"/>
      <w:marTop w:val="0"/>
      <w:marBottom w:val="0"/>
      <w:divBdr>
        <w:top w:val="none" w:sz="0" w:space="0" w:color="auto"/>
        <w:left w:val="none" w:sz="0" w:space="0" w:color="auto"/>
        <w:bottom w:val="none" w:sz="0" w:space="0" w:color="auto"/>
        <w:right w:val="none" w:sz="0" w:space="0" w:color="auto"/>
      </w:divBdr>
    </w:div>
    <w:div w:id="657267774">
      <w:bodyDiv w:val="1"/>
      <w:marLeft w:val="0"/>
      <w:marRight w:val="0"/>
      <w:marTop w:val="0"/>
      <w:marBottom w:val="0"/>
      <w:divBdr>
        <w:top w:val="none" w:sz="0" w:space="0" w:color="auto"/>
        <w:left w:val="none" w:sz="0" w:space="0" w:color="auto"/>
        <w:bottom w:val="none" w:sz="0" w:space="0" w:color="auto"/>
        <w:right w:val="none" w:sz="0" w:space="0" w:color="auto"/>
      </w:divBdr>
    </w:div>
    <w:div w:id="657618318">
      <w:bodyDiv w:val="1"/>
      <w:marLeft w:val="0"/>
      <w:marRight w:val="0"/>
      <w:marTop w:val="0"/>
      <w:marBottom w:val="0"/>
      <w:divBdr>
        <w:top w:val="none" w:sz="0" w:space="0" w:color="auto"/>
        <w:left w:val="none" w:sz="0" w:space="0" w:color="auto"/>
        <w:bottom w:val="none" w:sz="0" w:space="0" w:color="auto"/>
        <w:right w:val="none" w:sz="0" w:space="0" w:color="auto"/>
      </w:divBdr>
    </w:div>
    <w:div w:id="661275244">
      <w:bodyDiv w:val="1"/>
      <w:marLeft w:val="0"/>
      <w:marRight w:val="0"/>
      <w:marTop w:val="0"/>
      <w:marBottom w:val="0"/>
      <w:divBdr>
        <w:top w:val="none" w:sz="0" w:space="0" w:color="auto"/>
        <w:left w:val="none" w:sz="0" w:space="0" w:color="auto"/>
        <w:bottom w:val="none" w:sz="0" w:space="0" w:color="auto"/>
        <w:right w:val="none" w:sz="0" w:space="0" w:color="auto"/>
      </w:divBdr>
    </w:div>
    <w:div w:id="664090132">
      <w:bodyDiv w:val="1"/>
      <w:marLeft w:val="0"/>
      <w:marRight w:val="0"/>
      <w:marTop w:val="0"/>
      <w:marBottom w:val="0"/>
      <w:divBdr>
        <w:top w:val="none" w:sz="0" w:space="0" w:color="auto"/>
        <w:left w:val="none" w:sz="0" w:space="0" w:color="auto"/>
        <w:bottom w:val="none" w:sz="0" w:space="0" w:color="auto"/>
        <w:right w:val="none" w:sz="0" w:space="0" w:color="auto"/>
      </w:divBdr>
    </w:div>
    <w:div w:id="665674139">
      <w:bodyDiv w:val="1"/>
      <w:marLeft w:val="0"/>
      <w:marRight w:val="0"/>
      <w:marTop w:val="0"/>
      <w:marBottom w:val="0"/>
      <w:divBdr>
        <w:top w:val="none" w:sz="0" w:space="0" w:color="auto"/>
        <w:left w:val="none" w:sz="0" w:space="0" w:color="auto"/>
        <w:bottom w:val="none" w:sz="0" w:space="0" w:color="auto"/>
        <w:right w:val="none" w:sz="0" w:space="0" w:color="auto"/>
      </w:divBdr>
    </w:div>
    <w:div w:id="668022339">
      <w:bodyDiv w:val="1"/>
      <w:marLeft w:val="0"/>
      <w:marRight w:val="0"/>
      <w:marTop w:val="0"/>
      <w:marBottom w:val="0"/>
      <w:divBdr>
        <w:top w:val="none" w:sz="0" w:space="0" w:color="auto"/>
        <w:left w:val="none" w:sz="0" w:space="0" w:color="auto"/>
        <w:bottom w:val="none" w:sz="0" w:space="0" w:color="auto"/>
        <w:right w:val="none" w:sz="0" w:space="0" w:color="auto"/>
      </w:divBdr>
    </w:div>
    <w:div w:id="668219253">
      <w:bodyDiv w:val="1"/>
      <w:marLeft w:val="0"/>
      <w:marRight w:val="0"/>
      <w:marTop w:val="0"/>
      <w:marBottom w:val="0"/>
      <w:divBdr>
        <w:top w:val="none" w:sz="0" w:space="0" w:color="auto"/>
        <w:left w:val="none" w:sz="0" w:space="0" w:color="auto"/>
        <w:bottom w:val="none" w:sz="0" w:space="0" w:color="auto"/>
        <w:right w:val="none" w:sz="0" w:space="0" w:color="auto"/>
      </w:divBdr>
    </w:div>
    <w:div w:id="668336720">
      <w:bodyDiv w:val="1"/>
      <w:marLeft w:val="0"/>
      <w:marRight w:val="0"/>
      <w:marTop w:val="0"/>
      <w:marBottom w:val="0"/>
      <w:divBdr>
        <w:top w:val="none" w:sz="0" w:space="0" w:color="auto"/>
        <w:left w:val="none" w:sz="0" w:space="0" w:color="auto"/>
        <w:bottom w:val="none" w:sz="0" w:space="0" w:color="auto"/>
        <w:right w:val="none" w:sz="0" w:space="0" w:color="auto"/>
      </w:divBdr>
    </w:div>
    <w:div w:id="669142721">
      <w:bodyDiv w:val="1"/>
      <w:marLeft w:val="0"/>
      <w:marRight w:val="0"/>
      <w:marTop w:val="0"/>
      <w:marBottom w:val="0"/>
      <w:divBdr>
        <w:top w:val="none" w:sz="0" w:space="0" w:color="auto"/>
        <w:left w:val="none" w:sz="0" w:space="0" w:color="auto"/>
        <w:bottom w:val="none" w:sz="0" w:space="0" w:color="auto"/>
        <w:right w:val="none" w:sz="0" w:space="0" w:color="auto"/>
      </w:divBdr>
    </w:div>
    <w:div w:id="669792313">
      <w:bodyDiv w:val="1"/>
      <w:marLeft w:val="0"/>
      <w:marRight w:val="0"/>
      <w:marTop w:val="0"/>
      <w:marBottom w:val="0"/>
      <w:divBdr>
        <w:top w:val="none" w:sz="0" w:space="0" w:color="auto"/>
        <w:left w:val="none" w:sz="0" w:space="0" w:color="auto"/>
        <w:bottom w:val="none" w:sz="0" w:space="0" w:color="auto"/>
        <w:right w:val="none" w:sz="0" w:space="0" w:color="auto"/>
      </w:divBdr>
    </w:div>
    <w:div w:id="671445959">
      <w:bodyDiv w:val="1"/>
      <w:marLeft w:val="0"/>
      <w:marRight w:val="0"/>
      <w:marTop w:val="0"/>
      <w:marBottom w:val="0"/>
      <w:divBdr>
        <w:top w:val="none" w:sz="0" w:space="0" w:color="auto"/>
        <w:left w:val="none" w:sz="0" w:space="0" w:color="auto"/>
        <w:bottom w:val="none" w:sz="0" w:space="0" w:color="auto"/>
        <w:right w:val="none" w:sz="0" w:space="0" w:color="auto"/>
      </w:divBdr>
    </w:div>
    <w:div w:id="674000235">
      <w:bodyDiv w:val="1"/>
      <w:marLeft w:val="0"/>
      <w:marRight w:val="0"/>
      <w:marTop w:val="0"/>
      <w:marBottom w:val="0"/>
      <w:divBdr>
        <w:top w:val="none" w:sz="0" w:space="0" w:color="auto"/>
        <w:left w:val="none" w:sz="0" w:space="0" w:color="auto"/>
        <w:bottom w:val="none" w:sz="0" w:space="0" w:color="auto"/>
        <w:right w:val="none" w:sz="0" w:space="0" w:color="auto"/>
      </w:divBdr>
    </w:div>
    <w:div w:id="674382592">
      <w:bodyDiv w:val="1"/>
      <w:marLeft w:val="0"/>
      <w:marRight w:val="0"/>
      <w:marTop w:val="0"/>
      <w:marBottom w:val="0"/>
      <w:divBdr>
        <w:top w:val="none" w:sz="0" w:space="0" w:color="auto"/>
        <w:left w:val="none" w:sz="0" w:space="0" w:color="auto"/>
        <w:bottom w:val="none" w:sz="0" w:space="0" w:color="auto"/>
        <w:right w:val="none" w:sz="0" w:space="0" w:color="auto"/>
      </w:divBdr>
    </w:div>
    <w:div w:id="676426197">
      <w:bodyDiv w:val="1"/>
      <w:marLeft w:val="0"/>
      <w:marRight w:val="0"/>
      <w:marTop w:val="0"/>
      <w:marBottom w:val="0"/>
      <w:divBdr>
        <w:top w:val="none" w:sz="0" w:space="0" w:color="auto"/>
        <w:left w:val="none" w:sz="0" w:space="0" w:color="auto"/>
        <w:bottom w:val="none" w:sz="0" w:space="0" w:color="auto"/>
        <w:right w:val="none" w:sz="0" w:space="0" w:color="auto"/>
      </w:divBdr>
    </w:div>
    <w:div w:id="677122765">
      <w:bodyDiv w:val="1"/>
      <w:marLeft w:val="0"/>
      <w:marRight w:val="0"/>
      <w:marTop w:val="0"/>
      <w:marBottom w:val="0"/>
      <w:divBdr>
        <w:top w:val="none" w:sz="0" w:space="0" w:color="auto"/>
        <w:left w:val="none" w:sz="0" w:space="0" w:color="auto"/>
        <w:bottom w:val="none" w:sz="0" w:space="0" w:color="auto"/>
        <w:right w:val="none" w:sz="0" w:space="0" w:color="auto"/>
      </w:divBdr>
    </w:div>
    <w:div w:id="679703585">
      <w:bodyDiv w:val="1"/>
      <w:marLeft w:val="0"/>
      <w:marRight w:val="0"/>
      <w:marTop w:val="0"/>
      <w:marBottom w:val="0"/>
      <w:divBdr>
        <w:top w:val="none" w:sz="0" w:space="0" w:color="auto"/>
        <w:left w:val="none" w:sz="0" w:space="0" w:color="auto"/>
        <w:bottom w:val="none" w:sz="0" w:space="0" w:color="auto"/>
        <w:right w:val="none" w:sz="0" w:space="0" w:color="auto"/>
      </w:divBdr>
    </w:div>
    <w:div w:id="683440685">
      <w:bodyDiv w:val="1"/>
      <w:marLeft w:val="0"/>
      <w:marRight w:val="0"/>
      <w:marTop w:val="0"/>
      <w:marBottom w:val="0"/>
      <w:divBdr>
        <w:top w:val="none" w:sz="0" w:space="0" w:color="auto"/>
        <w:left w:val="none" w:sz="0" w:space="0" w:color="auto"/>
        <w:bottom w:val="none" w:sz="0" w:space="0" w:color="auto"/>
        <w:right w:val="none" w:sz="0" w:space="0" w:color="auto"/>
      </w:divBdr>
    </w:div>
    <w:div w:id="687490648">
      <w:bodyDiv w:val="1"/>
      <w:marLeft w:val="0"/>
      <w:marRight w:val="0"/>
      <w:marTop w:val="0"/>
      <w:marBottom w:val="0"/>
      <w:divBdr>
        <w:top w:val="none" w:sz="0" w:space="0" w:color="auto"/>
        <w:left w:val="none" w:sz="0" w:space="0" w:color="auto"/>
        <w:bottom w:val="none" w:sz="0" w:space="0" w:color="auto"/>
        <w:right w:val="none" w:sz="0" w:space="0" w:color="auto"/>
      </w:divBdr>
    </w:div>
    <w:div w:id="694580110">
      <w:bodyDiv w:val="1"/>
      <w:marLeft w:val="0"/>
      <w:marRight w:val="0"/>
      <w:marTop w:val="0"/>
      <w:marBottom w:val="0"/>
      <w:divBdr>
        <w:top w:val="none" w:sz="0" w:space="0" w:color="auto"/>
        <w:left w:val="none" w:sz="0" w:space="0" w:color="auto"/>
        <w:bottom w:val="none" w:sz="0" w:space="0" w:color="auto"/>
        <w:right w:val="none" w:sz="0" w:space="0" w:color="auto"/>
      </w:divBdr>
    </w:div>
    <w:div w:id="694844811">
      <w:bodyDiv w:val="1"/>
      <w:marLeft w:val="0"/>
      <w:marRight w:val="0"/>
      <w:marTop w:val="0"/>
      <w:marBottom w:val="0"/>
      <w:divBdr>
        <w:top w:val="none" w:sz="0" w:space="0" w:color="auto"/>
        <w:left w:val="none" w:sz="0" w:space="0" w:color="auto"/>
        <w:bottom w:val="none" w:sz="0" w:space="0" w:color="auto"/>
        <w:right w:val="none" w:sz="0" w:space="0" w:color="auto"/>
      </w:divBdr>
    </w:div>
    <w:div w:id="696394650">
      <w:bodyDiv w:val="1"/>
      <w:marLeft w:val="0"/>
      <w:marRight w:val="0"/>
      <w:marTop w:val="0"/>
      <w:marBottom w:val="0"/>
      <w:divBdr>
        <w:top w:val="none" w:sz="0" w:space="0" w:color="auto"/>
        <w:left w:val="none" w:sz="0" w:space="0" w:color="auto"/>
        <w:bottom w:val="none" w:sz="0" w:space="0" w:color="auto"/>
        <w:right w:val="none" w:sz="0" w:space="0" w:color="auto"/>
      </w:divBdr>
    </w:div>
    <w:div w:id="696781340">
      <w:bodyDiv w:val="1"/>
      <w:marLeft w:val="0"/>
      <w:marRight w:val="0"/>
      <w:marTop w:val="0"/>
      <w:marBottom w:val="0"/>
      <w:divBdr>
        <w:top w:val="none" w:sz="0" w:space="0" w:color="auto"/>
        <w:left w:val="none" w:sz="0" w:space="0" w:color="auto"/>
        <w:bottom w:val="none" w:sz="0" w:space="0" w:color="auto"/>
        <w:right w:val="none" w:sz="0" w:space="0" w:color="auto"/>
      </w:divBdr>
    </w:div>
    <w:div w:id="696808900">
      <w:bodyDiv w:val="1"/>
      <w:marLeft w:val="0"/>
      <w:marRight w:val="0"/>
      <w:marTop w:val="0"/>
      <w:marBottom w:val="0"/>
      <w:divBdr>
        <w:top w:val="none" w:sz="0" w:space="0" w:color="auto"/>
        <w:left w:val="none" w:sz="0" w:space="0" w:color="auto"/>
        <w:bottom w:val="none" w:sz="0" w:space="0" w:color="auto"/>
        <w:right w:val="none" w:sz="0" w:space="0" w:color="auto"/>
      </w:divBdr>
    </w:div>
    <w:div w:id="698360324">
      <w:bodyDiv w:val="1"/>
      <w:marLeft w:val="0"/>
      <w:marRight w:val="0"/>
      <w:marTop w:val="0"/>
      <w:marBottom w:val="0"/>
      <w:divBdr>
        <w:top w:val="none" w:sz="0" w:space="0" w:color="auto"/>
        <w:left w:val="none" w:sz="0" w:space="0" w:color="auto"/>
        <w:bottom w:val="none" w:sz="0" w:space="0" w:color="auto"/>
        <w:right w:val="none" w:sz="0" w:space="0" w:color="auto"/>
      </w:divBdr>
    </w:div>
    <w:div w:id="700935549">
      <w:bodyDiv w:val="1"/>
      <w:marLeft w:val="0"/>
      <w:marRight w:val="0"/>
      <w:marTop w:val="0"/>
      <w:marBottom w:val="0"/>
      <w:divBdr>
        <w:top w:val="none" w:sz="0" w:space="0" w:color="auto"/>
        <w:left w:val="none" w:sz="0" w:space="0" w:color="auto"/>
        <w:bottom w:val="none" w:sz="0" w:space="0" w:color="auto"/>
        <w:right w:val="none" w:sz="0" w:space="0" w:color="auto"/>
      </w:divBdr>
    </w:div>
    <w:div w:id="704333412">
      <w:bodyDiv w:val="1"/>
      <w:marLeft w:val="0"/>
      <w:marRight w:val="0"/>
      <w:marTop w:val="0"/>
      <w:marBottom w:val="0"/>
      <w:divBdr>
        <w:top w:val="none" w:sz="0" w:space="0" w:color="auto"/>
        <w:left w:val="none" w:sz="0" w:space="0" w:color="auto"/>
        <w:bottom w:val="none" w:sz="0" w:space="0" w:color="auto"/>
        <w:right w:val="none" w:sz="0" w:space="0" w:color="auto"/>
      </w:divBdr>
    </w:div>
    <w:div w:id="707417244">
      <w:bodyDiv w:val="1"/>
      <w:marLeft w:val="0"/>
      <w:marRight w:val="0"/>
      <w:marTop w:val="0"/>
      <w:marBottom w:val="0"/>
      <w:divBdr>
        <w:top w:val="none" w:sz="0" w:space="0" w:color="auto"/>
        <w:left w:val="none" w:sz="0" w:space="0" w:color="auto"/>
        <w:bottom w:val="none" w:sz="0" w:space="0" w:color="auto"/>
        <w:right w:val="none" w:sz="0" w:space="0" w:color="auto"/>
      </w:divBdr>
    </w:div>
    <w:div w:id="712922594">
      <w:bodyDiv w:val="1"/>
      <w:marLeft w:val="0"/>
      <w:marRight w:val="0"/>
      <w:marTop w:val="0"/>
      <w:marBottom w:val="0"/>
      <w:divBdr>
        <w:top w:val="none" w:sz="0" w:space="0" w:color="auto"/>
        <w:left w:val="none" w:sz="0" w:space="0" w:color="auto"/>
        <w:bottom w:val="none" w:sz="0" w:space="0" w:color="auto"/>
        <w:right w:val="none" w:sz="0" w:space="0" w:color="auto"/>
      </w:divBdr>
    </w:div>
    <w:div w:id="719019386">
      <w:bodyDiv w:val="1"/>
      <w:marLeft w:val="0"/>
      <w:marRight w:val="0"/>
      <w:marTop w:val="0"/>
      <w:marBottom w:val="0"/>
      <w:divBdr>
        <w:top w:val="none" w:sz="0" w:space="0" w:color="auto"/>
        <w:left w:val="none" w:sz="0" w:space="0" w:color="auto"/>
        <w:bottom w:val="none" w:sz="0" w:space="0" w:color="auto"/>
        <w:right w:val="none" w:sz="0" w:space="0" w:color="auto"/>
      </w:divBdr>
    </w:div>
    <w:div w:id="720521283">
      <w:bodyDiv w:val="1"/>
      <w:marLeft w:val="0"/>
      <w:marRight w:val="0"/>
      <w:marTop w:val="0"/>
      <w:marBottom w:val="0"/>
      <w:divBdr>
        <w:top w:val="none" w:sz="0" w:space="0" w:color="auto"/>
        <w:left w:val="none" w:sz="0" w:space="0" w:color="auto"/>
        <w:bottom w:val="none" w:sz="0" w:space="0" w:color="auto"/>
        <w:right w:val="none" w:sz="0" w:space="0" w:color="auto"/>
      </w:divBdr>
    </w:div>
    <w:div w:id="721056721">
      <w:bodyDiv w:val="1"/>
      <w:marLeft w:val="0"/>
      <w:marRight w:val="0"/>
      <w:marTop w:val="0"/>
      <w:marBottom w:val="0"/>
      <w:divBdr>
        <w:top w:val="none" w:sz="0" w:space="0" w:color="auto"/>
        <w:left w:val="none" w:sz="0" w:space="0" w:color="auto"/>
        <w:bottom w:val="none" w:sz="0" w:space="0" w:color="auto"/>
        <w:right w:val="none" w:sz="0" w:space="0" w:color="auto"/>
      </w:divBdr>
    </w:div>
    <w:div w:id="723984841">
      <w:bodyDiv w:val="1"/>
      <w:marLeft w:val="0"/>
      <w:marRight w:val="0"/>
      <w:marTop w:val="0"/>
      <w:marBottom w:val="0"/>
      <w:divBdr>
        <w:top w:val="none" w:sz="0" w:space="0" w:color="auto"/>
        <w:left w:val="none" w:sz="0" w:space="0" w:color="auto"/>
        <w:bottom w:val="none" w:sz="0" w:space="0" w:color="auto"/>
        <w:right w:val="none" w:sz="0" w:space="0" w:color="auto"/>
      </w:divBdr>
    </w:div>
    <w:div w:id="725488305">
      <w:bodyDiv w:val="1"/>
      <w:marLeft w:val="0"/>
      <w:marRight w:val="0"/>
      <w:marTop w:val="0"/>
      <w:marBottom w:val="0"/>
      <w:divBdr>
        <w:top w:val="none" w:sz="0" w:space="0" w:color="auto"/>
        <w:left w:val="none" w:sz="0" w:space="0" w:color="auto"/>
        <w:bottom w:val="none" w:sz="0" w:space="0" w:color="auto"/>
        <w:right w:val="none" w:sz="0" w:space="0" w:color="auto"/>
      </w:divBdr>
    </w:div>
    <w:div w:id="730233342">
      <w:bodyDiv w:val="1"/>
      <w:marLeft w:val="0"/>
      <w:marRight w:val="0"/>
      <w:marTop w:val="0"/>
      <w:marBottom w:val="0"/>
      <w:divBdr>
        <w:top w:val="none" w:sz="0" w:space="0" w:color="auto"/>
        <w:left w:val="none" w:sz="0" w:space="0" w:color="auto"/>
        <w:bottom w:val="none" w:sz="0" w:space="0" w:color="auto"/>
        <w:right w:val="none" w:sz="0" w:space="0" w:color="auto"/>
      </w:divBdr>
    </w:div>
    <w:div w:id="735012540">
      <w:bodyDiv w:val="1"/>
      <w:marLeft w:val="0"/>
      <w:marRight w:val="0"/>
      <w:marTop w:val="0"/>
      <w:marBottom w:val="0"/>
      <w:divBdr>
        <w:top w:val="none" w:sz="0" w:space="0" w:color="auto"/>
        <w:left w:val="none" w:sz="0" w:space="0" w:color="auto"/>
        <w:bottom w:val="none" w:sz="0" w:space="0" w:color="auto"/>
        <w:right w:val="none" w:sz="0" w:space="0" w:color="auto"/>
      </w:divBdr>
    </w:div>
    <w:div w:id="736128245">
      <w:bodyDiv w:val="1"/>
      <w:marLeft w:val="0"/>
      <w:marRight w:val="0"/>
      <w:marTop w:val="0"/>
      <w:marBottom w:val="0"/>
      <w:divBdr>
        <w:top w:val="none" w:sz="0" w:space="0" w:color="auto"/>
        <w:left w:val="none" w:sz="0" w:space="0" w:color="auto"/>
        <w:bottom w:val="none" w:sz="0" w:space="0" w:color="auto"/>
        <w:right w:val="none" w:sz="0" w:space="0" w:color="auto"/>
      </w:divBdr>
    </w:div>
    <w:div w:id="737091385">
      <w:bodyDiv w:val="1"/>
      <w:marLeft w:val="0"/>
      <w:marRight w:val="0"/>
      <w:marTop w:val="0"/>
      <w:marBottom w:val="0"/>
      <w:divBdr>
        <w:top w:val="none" w:sz="0" w:space="0" w:color="auto"/>
        <w:left w:val="none" w:sz="0" w:space="0" w:color="auto"/>
        <w:bottom w:val="none" w:sz="0" w:space="0" w:color="auto"/>
        <w:right w:val="none" w:sz="0" w:space="0" w:color="auto"/>
      </w:divBdr>
    </w:div>
    <w:div w:id="738135539">
      <w:bodyDiv w:val="1"/>
      <w:marLeft w:val="0"/>
      <w:marRight w:val="0"/>
      <w:marTop w:val="0"/>
      <w:marBottom w:val="0"/>
      <w:divBdr>
        <w:top w:val="none" w:sz="0" w:space="0" w:color="auto"/>
        <w:left w:val="none" w:sz="0" w:space="0" w:color="auto"/>
        <w:bottom w:val="none" w:sz="0" w:space="0" w:color="auto"/>
        <w:right w:val="none" w:sz="0" w:space="0" w:color="auto"/>
      </w:divBdr>
    </w:div>
    <w:div w:id="740493194">
      <w:bodyDiv w:val="1"/>
      <w:marLeft w:val="0"/>
      <w:marRight w:val="0"/>
      <w:marTop w:val="0"/>
      <w:marBottom w:val="0"/>
      <w:divBdr>
        <w:top w:val="none" w:sz="0" w:space="0" w:color="auto"/>
        <w:left w:val="none" w:sz="0" w:space="0" w:color="auto"/>
        <w:bottom w:val="none" w:sz="0" w:space="0" w:color="auto"/>
        <w:right w:val="none" w:sz="0" w:space="0" w:color="auto"/>
      </w:divBdr>
    </w:div>
    <w:div w:id="741565004">
      <w:bodyDiv w:val="1"/>
      <w:marLeft w:val="0"/>
      <w:marRight w:val="0"/>
      <w:marTop w:val="0"/>
      <w:marBottom w:val="0"/>
      <w:divBdr>
        <w:top w:val="none" w:sz="0" w:space="0" w:color="auto"/>
        <w:left w:val="none" w:sz="0" w:space="0" w:color="auto"/>
        <w:bottom w:val="none" w:sz="0" w:space="0" w:color="auto"/>
        <w:right w:val="none" w:sz="0" w:space="0" w:color="auto"/>
      </w:divBdr>
    </w:div>
    <w:div w:id="742987778">
      <w:bodyDiv w:val="1"/>
      <w:marLeft w:val="0"/>
      <w:marRight w:val="0"/>
      <w:marTop w:val="0"/>
      <w:marBottom w:val="0"/>
      <w:divBdr>
        <w:top w:val="none" w:sz="0" w:space="0" w:color="auto"/>
        <w:left w:val="none" w:sz="0" w:space="0" w:color="auto"/>
        <w:bottom w:val="none" w:sz="0" w:space="0" w:color="auto"/>
        <w:right w:val="none" w:sz="0" w:space="0" w:color="auto"/>
      </w:divBdr>
    </w:div>
    <w:div w:id="743336450">
      <w:bodyDiv w:val="1"/>
      <w:marLeft w:val="0"/>
      <w:marRight w:val="0"/>
      <w:marTop w:val="0"/>
      <w:marBottom w:val="0"/>
      <w:divBdr>
        <w:top w:val="none" w:sz="0" w:space="0" w:color="auto"/>
        <w:left w:val="none" w:sz="0" w:space="0" w:color="auto"/>
        <w:bottom w:val="none" w:sz="0" w:space="0" w:color="auto"/>
        <w:right w:val="none" w:sz="0" w:space="0" w:color="auto"/>
      </w:divBdr>
    </w:div>
    <w:div w:id="743574706">
      <w:bodyDiv w:val="1"/>
      <w:marLeft w:val="0"/>
      <w:marRight w:val="0"/>
      <w:marTop w:val="0"/>
      <w:marBottom w:val="0"/>
      <w:divBdr>
        <w:top w:val="none" w:sz="0" w:space="0" w:color="auto"/>
        <w:left w:val="none" w:sz="0" w:space="0" w:color="auto"/>
        <w:bottom w:val="none" w:sz="0" w:space="0" w:color="auto"/>
        <w:right w:val="none" w:sz="0" w:space="0" w:color="auto"/>
      </w:divBdr>
    </w:div>
    <w:div w:id="745490588">
      <w:bodyDiv w:val="1"/>
      <w:marLeft w:val="0"/>
      <w:marRight w:val="0"/>
      <w:marTop w:val="0"/>
      <w:marBottom w:val="0"/>
      <w:divBdr>
        <w:top w:val="none" w:sz="0" w:space="0" w:color="auto"/>
        <w:left w:val="none" w:sz="0" w:space="0" w:color="auto"/>
        <w:bottom w:val="none" w:sz="0" w:space="0" w:color="auto"/>
        <w:right w:val="none" w:sz="0" w:space="0" w:color="auto"/>
      </w:divBdr>
    </w:div>
    <w:div w:id="749697775">
      <w:bodyDiv w:val="1"/>
      <w:marLeft w:val="0"/>
      <w:marRight w:val="0"/>
      <w:marTop w:val="0"/>
      <w:marBottom w:val="0"/>
      <w:divBdr>
        <w:top w:val="none" w:sz="0" w:space="0" w:color="auto"/>
        <w:left w:val="none" w:sz="0" w:space="0" w:color="auto"/>
        <w:bottom w:val="none" w:sz="0" w:space="0" w:color="auto"/>
        <w:right w:val="none" w:sz="0" w:space="0" w:color="auto"/>
      </w:divBdr>
    </w:div>
    <w:div w:id="749812430">
      <w:bodyDiv w:val="1"/>
      <w:marLeft w:val="0"/>
      <w:marRight w:val="0"/>
      <w:marTop w:val="0"/>
      <w:marBottom w:val="0"/>
      <w:divBdr>
        <w:top w:val="none" w:sz="0" w:space="0" w:color="auto"/>
        <w:left w:val="none" w:sz="0" w:space="0" w:color="auto"/>
        <w:bottom w:val="none" w:sz="0" w:space="0" w:color="auto"/>
        <w:right w:val="none" w:sz="0" w:space="0" w:color="auto"/>
      </w:divBdr>
    </w:div>
    <w:div w:id="750810953">
      <w:bodyDiv w:val="1"/>
      <w:marLeft w:val="0"/>
      <w:marRight w:val="0"/>
      <w:marTop w:val="0"/>
      <w:marBottom w:val="0"/>
      <w:divBdr>
        <w:top w:val="none" w:sz="0" w:space="0" w:color="auto"/>
        <w:left w:val="none" w:sz="0" w:space="0" w:color="auto"/>
        <w:bottom w:val="none" w:sz="0" w:space="0" w:color="auto"/>
        <w:right w:val="none" w:sz="0" w:space="0" w:color="auto"/>
      </w:divBdr>
    </w:div>
    <w:div w:id="754669791">
      <w:bodyDiv w:val="1"/>
      <w:marLeft w:val="0"/>
      <w:marRight w:val="0"/>
      <w:marTop w:val="0"/>
      <w:marBottom w:val="0"/>
      <w:divBdr>
        <w:top w:val="none" w:sz="0" w:space="0" w:color="auto"/>
        <w:left w:val="none" w:sz="0" w:space="0" w:color="auto"/>
        <w:bottom w:val="none" w:sz="0" w:space="0" w:color="auto"/>
        <w:right w:val="none" w:sz="0" w:space="0" w:color="auto"/>
      </w:divBdr>
    </w:div>
    <w:div w:id="762579419">
      <w:bodyDiv w:val="1"/>
      <w:marLeft w:val="0"/>
      <w:marRight w:val="0"/>
      <w:marTop w:val="0"/>
      <w:marBottom w:val="0"/>
      <w:divBdr>
        <w:top w:val="none" w:sz="0" w:space="0" w:color="auto"/>
        <w:left w:val="none" w:sz="0" w:space="0" w:color="auto"/>
        <w:bottom w:val="none" w:sz="0" w:space="0" w:color="auto"/>
        <w:right w:val="none" w:sz="0" w:space="0" w:color="auto"/>
      </w:divBdr>
    </w:div>
    <w:div w:id="763038707">
      <w:bodyDiv w:val="1"/>
      <w:marLeft w:val="0"/>
      <w:marRight w:val="0"/>
      <w:marTop w:val="0"/>
      <w:marBottom w:val="0"/>
      <w:divBdr>
        <w:top w:val="none" w:sz="0" w:space="0" w:color="auto"/>
        <w:left w:val="none" w:sz="0" w:space="0" w:color="auto"/>
        <w:bottom w:val="none" w:sz="0" w:space="0" w:color="auto"/>
        <w:right w:val="none" w:sz="0" w:space="0" w:color="auto"/>
      </w:divBdr>
    </w:div>
    <w:div w:id="767391298">
      <w:bodyDiv w:val="1"/>
      <w:marLeft w:val="0"/>
      <w:marRight w:val="0"/>
      <w:marTop w:val="0"/>
      <w:marBottom w:val="0"/>
      <w:divBdr>
        <w:top w:val="none" w:sz="0" w:space="0" w:color="auto"/>
        <w:left w:val="none" w:sz="0" w:space="0" w:color="auto"/>
        <w:bottom w:val="none" w:sz="0" w:space="0" w:color="auto"/>
        <w:right w:val="none" w:sz="0" w:space="0" w:color="auto"/>
      </w:divBdr>
    </w:div>
    <w:div w:id="768698537">
      <w:bodyDiv w:val="1"/>
      <w:marLeft w:val="0"/>
      <w:marRight w:val="0"/>
      <w:marTop w:val="0"/>
      <w:marBottom w:val="0"/>
      <w:divBdr>
        <w:top w:val="none" w:sz="0" w:space="0" w:color="auto"/>
        <w:left w:val="none" w:sz="0" w:space="0" w:color="auto"/>
        <w:bottom w:val="none" w:sz="0" w:space="0" w:color="auto"/>
        <w:right w:val="none" w:sz="0" w:space="0" w:color="auto"/>
      </w:divBdr>
    </w:div>
    <w:div w:id="769281118">
      <w:bodyDiv w:val="1"/>
      <w:marLeft w:val="0"/>
      <w:marRight w:val="0"/>
      <w:marTop w:val="0"/>
      <w:marBottom w:val="0"/>
      <w:divBdr>
        <w:top w:val="none" w:sz="0" w:space="0" w:color="auto"/>
        <w:left w:val="none" w:sz="0" w:space="0" w:color="auto"/>
        <w:bottom w:val="none" w:sz="0" w:space="0" w:color="auto"/>
        <w:right w:val="none" w:sz="0" w:space="0" w:color="auto"/>
      </w:divBdr>
    </w:div>
    <w:div w:id="770316021">
      <w:bodyDiv w:val="1"/>
      <w:marLeft w:val="0"/>
      <w:marRight w:val="0"/>
      <w:marTop w:val="0"/>
      <w:marBottom w:val="0"/>
      <w:divBdr>
        <w:top w:val="none" w:sz="0" w:space="0" w:color="auto"/>
        <w:left w:val="none" w:sz="0" w:space="0" w:color="auto"/>
        <w:bottom w:val="none" w:sz="0" w:space="0" w:color="auto"/>
        <w:right w:val="none" w:sz="0" w:space="0" w:color="auto"/>
      </w:divBdr>
    </w:div>
    <w:div w:id="770320157">
      <w:bodyDiv w:val="1"/>
      <w:marLeft w:val="0"/>
      <w:marRight w:val="0"/>
      <w:marTop w:val="0"/>
      <w:marBottom w:val="0"/>
      <w:divBdr>
        <w:top w:val="none" w:sz="0" w:space="0" w:color="auto"/>
        <w:left w:val="none" w:sz="0" w:space="0" w:color="auto"/>
        <w:bottom w:val="none" w:sz="0" w:space="0" w:color="auto"/>
        <w:right w:val="none" w:sz="0" w:space="0" w:color="auto"/>
      </w:divBdr>
    </w:div>
    <w:div w:id="770467179">
      <w:bodyDiv w:val="1"/>
      <w:marLeft w:val="0"/>
      <w:marRight w:val="0"/>
      <w:marTop w:val="0"/>
      <w:marBottom w:val="0"/>
      <w:divBdr>
        <w:top w:val="none" w:sz="0" w:space="0" w:color="auto"/>
        <w:left w:val="none" w:sz="0" w:space="0" w:color="auto"/>
        <w:bottom w:val="none" w:sz="0" w:space="0" w:color="auto"/>
        <w:right w:val="none" w:sz="0" w:space="0" w:color="auto"/>
      </w:divBdr>
    </w:div>
    <w:div w:id="770970377">
      <w:bodyDiv w:val="1"/>
      <w:marLeft w:val="0"/>
      <w:marRight w:val="0"/>
      <w:marTop w:val="0"/>
      <w:marBottom w:val="0"/>
      <w:divBdr>
        <w:top w:val="none" w:sz="0" w:space="0" w:color="auto"/>
        <w:left w:val="none" w:sz="0" w:space="0" w:color="auto"/>
        <w:bottom w:val="none" w:sz="0" w:space="0" w:color="auto"/>
        <w:right w:val="none" w:sz="0" w:space="0" w:color="auto"/>
      </w:divBdr>
    </w:div>
    <w:div w:id="779685225">
      <w:bodyDiv w:val="1"/>
      <w:marLeft w:val="0"/>
      <w:marRight w:val="0"/>
      <w:marTop w:val="0"/>
      <w:marBottom w:val="0"/>
      <w:divBdr>
        <w:top w:val="none" w:sz="0" w:space="0" w:color="auto"/>
        <w:left w:val="none" w:sz="0" w:space="0" w:color="auto"/>
        <w:bottom w:val="none" w:sz="0" w:space="0" w:color="auto"/>
        <w:right w:val="none" w:sz="0" w:space="0" w:color="auto"/>
      </w:divBdr>
    </w:div>
    <w:div w:id="783614411">
      <w:bodyDiv w:val="1"/>
      <w:marLeft w:val="0"/>
      <w:marRight w:val="0"/>
      <w:marTop w:val="0"/>
      <w:marBottom w:val="0"/>
      <w:divBdr>
        <w:top w:val="none" w:sz="0" w:space="0" w:color="auto"/>
        <w:left w:val="none" w:sz="0" w:space="0" w:color="auto"/>
        <w:bottom w:val="none" w:sz="0" w:space="0" w:color="auto"/>
        <w:right w:val="none" w:sz="0" w:space="0" w:color="auto"/>
      </w:divBdr>
    </w:div>
    <w:div w:id="783697727">
      <w:bodyDiv w:val="1"/>
      <w:marLeft w:val="0"/>
      <w:marRight w:val="0"/>
      <w:marTop w:val="0"/>
      <w:marBottom w:val="0"/>
      <w:divBdr>
        <w:top w:val="none" w:sz="0" w:space="0" w:color="auto"/>
        <w:left w:val="none" w:sz="0" w:space="0" w:color="auto"/>
        <w:bottom w:val="none" w:sz="0" w:space="0" w:color="auto"/>
        <w:right w:val="none" w:sz="0" w:space="0" w:color="auto"/>
      </w:divBdr>
    </w:div>
    <w:div w:id="787744955">
      <w:bodyDiv w:val="1"/>
      <w:marLeft w:val="0"/>
      <w:marRight w:val="0"/>
      <w:marTop w:val="0"/>
      <w:marBottom w:val="0"/>
      <w:divBdr>
        <w:top w:val="none" w:sz="0" w:space="0" w:color="auto"/>
        <w:left w:val="none" w:sz="0" w:space="0" w:color="auto"/>
        <w:bottom w:val="none" w:sz="0" w:space="0" w:color="auto"/>
        <w:right w:val="none" w:sz="0" w:space="0" w:color="auto"/>
      </w:divBdr>
    </w:div>
    <w:div w:id="788008778">
      <w:bodyDiv w:val="1"/>
      <w:marLeft w:val="0"/>
      <w:marRight w:val="0"/>
      <w:marTop w:val="0"/>
      <w:marBottom w:val="0"/>
      <w:divBdr>
        <w:top w:val="none" w:sz="0" w:space="0" w:color="auto"/>
        <w:left w:val="none" w:sz="0" w:space="0" w:color="auto"/>
        <w:bottom w:val="none" w:sz="0" w:space="0" w:color="auto"/>
        <w:right w:val="none" w:sz="0" w:space="0" w:color="auto"/>
      </w:divBdr>
    </w:div>
    <w:div w:id="790898574">
      <w:bodyDiv w:val="1"/>
      <w:marLeft w:val="0"/>
      <w:marRight w:val="0"/>
      <w:marTop w:val="0"/>
      <w:marBottom w:val="0"/>
      <w:divBdr>
        <w:top w:val="none" w:sz="0" w:space="0" w:color="auto"/>
        <w:left w:val="none" w:sz="0" w:space="0" w:color="auto"/>
        <w:bottom w:val="none" w:sz="0" w:space="0" w:color="auto"/>
        <w:right w:val="none" w:sz="0" w:space="0" w:color="auto"/>
      </w:divBdr>
    </w:div>
    <w:div w:id="791171554">
      <w:bodyDiv w:val="1"/>
      <w:marLeft w:val="0"/>
      <w:marRight w:val="0"/>
      <w:marTop w:val="0"/>
      <w:marBottom w:val="0"/>
      <w:divBdr>
        <w:top w:val="none" w:sz="0" w:space="0" w:color="auto"/>
        <w:left w:val="none" w:sz="0" w:space="0" w:color="auto"/>
        <w:bottom w:val="none" w:sz="0" w:space="0" w:color="auto"/>
        <w:right w:val="none" w:sz="0" w:space="0" w:color="auto"/>
      </w:divBdr>
    </w:div>
    <w:div w:id="794562365">
      <w:bodyDiv w:val="1"/>
      <w:marLeft w:val="0"/>
      <w:marRight w:val="0"/>
      <w:marTop w:val="0"/>
      <w:marBottom w:val="0"/>
      <w:divBdr>
        <w:top w:val="none" w:sz="0" w:space="0" w:color="auto"/>
        <w:left w:val="none" w:sz="0" w:space="0" w:color="auto"/>
        <w:bottom w:val="none" w:sz="0" w:space="0" w:color="auto"/>
        <w:right w:val="none" w:sz="0" w:space="0" w:color="auto"/>
      </w:divBdr>
    </w:div>
    <w:div w:id="796796158">
      <w:bodyDiv w:val="1"/>
      <w:marLeft w:val="0"/>
      <w:marRight w:val="0"/>
      <w:marTop w:val="0"/>
      <w:marBottom w:val="0"/>
      <w:divBdr>
        <w:top w:val="none" w:sz="0" w:space="0" w:color="auto"/>
        <w:left w:val="none" w:sz="0" w:space="0" w:color="auto"/>
        <w:bottom w:val="none" w:sz="0" w:space="0" w:color="auto"/>
        <w:right w:val="none" w:sz="0" w:space="0" w:color="auto"/>
      </w:divBdr>
    </w:div>
    <w:div w:id="798457695">
      <w:bodyDiv w:val="1"/>
      <w:marLeft w:val="0"/>
      <w:marRight w:val="0"/>
      <w:marTop w:val="0"/>
      <w:marBottom w:val="0"/>
      <w:divBdr>
        <w:top w:val="none" w:sz="0" w:space="0" w:color="auto"/>
        <w:left w:val="none" w:sz="0" w:space="0" w:color="auto"/>
        <w:bottom w:val="none" w:sz="0" w:space="0" w:color="auto"/>
        <w:right w:val="none" w:sz="0" w:space="0" w:color="auto"/>
      </w:divBdr>
    </w:div>
    <w:div w:id="803162011">
      <w:bodyDiv w:val="1"/>
      <w:marLeft w:val="0"/>
      <w:marRight w:val="0"/>
      <w:marTop w:val="0"/>
      <w:marBottom w:val="0"/>
      <w:divBdr>
        <w:top w:val="none" w:sz="0" w:space="0" w:color="auto"/>
        <w:left w:val="none" w:sz="0" w:space="0" w:color="auto"/>
        <w:bottom w:val="none" w:sz="0" w:space="0" w:color="auto"/>
        <w:right w:val="none" w:sz="0" w:space="0" w:color="auto"/>
      </w:divBdr>
    </w:div>
    <w:div w:id="807821620">
      <w:bodyDiv w:val="1"/>
      <w:marLeft w:val="0"/>
      <w:marRight w:val="0"/>
      <w:marTop w:val="0"/>
      <w:marBottom w:val="0"/>
      <w:divBdr>
        <w:top w:val="none" w:sz="0" w:space="0" w:color="auto"/>
        <w:left w:val="none" w:sz="0" w:space="0" w:color="auto"/>
        <w:bottom w:val="none" w:sz="0" w:space="0" w:color="auto"/>
        <w:right w:val="none" w:sz="0" w:space="0" w:color="auto"/>
      </w:divBdr>
    </w:div>
    <w:div w:id="807862961">
      <w:bodyDiv w:val="1"/>
      <w:marLeft w:val="0"/>
      <w:marRight w:val="0"/>
      <w:marTop w:val="0"/>
      <w:marBottom w:val="0"/>
      <w:divBdr>
        <w:top w:val="none" w:sz="0" w:space="0" w:color="auto"/>
        <w:left w:val="none" w:sz="0" w:space="0" w:color="auto"/>
        <w:bottom w:val="none" w:sz="0" w:space="0" w:color="auto"/>
        <w:right w:val="none" w:sz="0" w:space="0" w:color="auto"/>
      </w:divBdr>
    </w:div>
    <w:div w:id="808285165">
      <w:bodyDiv w:val="1"/>
      <w:marLeft w:val="0"/>
      <w:marRight w:val="0"/>
      <w:marTop w:val="0"/>
      <w:marBottom w:val="0"/>
      <w:divBdr>
        <w:top w:val="none" w:sz="0" w:space="0" w:color="auto"/>
        <w:left w:val="none" w:sz="0" w:space="0" w:color="auto"/>
        <w:bottom w:val="none" w:sz="0" w:space="0" w:color="auto"/>
        <w:right w:val="none" w:sz="0" w:space="0" w:color="auto"/>
      </w:divBdr>
    </w:div>
    <w:div w:id="810244832">
      <w:bodyDiv w:val="1"/>
      <w:marLeft w:val="0"/>
      <w:marRight w:val="0"/>
      <w:marTop w:val="0"/>
      <w:marBottom w:val="0"/>
      <w:divBdr>
        <w:top w:val="none" w:sz="0" w:space="0" w:color="auto"/>
        <w:left w:val="none" w:sz="0" w:space="0" w:color="auto"/>
        <w:bottom w:val="none" w:sz="0" w:space="0" w:color="auto"/>
        <w:right w:val="none" w:sz="0" w:space="0" w:color="auto"/>
      </w:divBdr>
    </w:div>
    <w:div w:id="811797253">
      <w:bodyDiv w:val="1"/>
      <w:marLeft w:val="0"/>
      <w:marRight w:val="0"/>
      <w:marTop w:val="0"/>
      <w:marBottom w:val="0"/>
      <w:divBdr>
        <w:top w:val="none" w:sz="0" w:space="0" w:color="auto"/>
        <w:left w:val="none" w:sz="0" w:space="0" w:color="auto"/>
        <w:bottom w:val="none" w:sz="0" w:space="0" w:color="auto"/>
        <w:right w:val="none" w:sz="0" w:space="0" w:color="auto"/>
      </w:divBdr>
    </w:div>
    <w:div w:id="813526019">
      <w:bodyDiv w:val="1"/>
      <w:marLeft w:val="0"/>
      <w:marRight w:val="0"/>
      <w:marTop w:val="0"/>
      <w:marBottom w:val="0"/>
      <w:divBdr>
        <w:top w:val="none" w:sz="0" w:space="0" w:color="auto"/>
        <w:left w:val="none" w:sz="0" w:space="0" w:color="auto"/>
        <w:bottom w:val="none" w:sz="0" w:space="0" w:color="auto"/>
        <w:right w:val="none" w:sz="0" w:space="0" w:color="auto"/>
      </w:divBdr>
    </w:div>
    <w:div w:id="814377916">
      <w:bodyDiv w:val="1"/>
      <w:marLeft w:val="0"/>
      <w:marRight w:val="0"/>
      <w:marTop w:val="0"/>
      <w:marBottom w:val="0"/>
      <w:divBdr>
        <w:top w:val="none" w:sz="0" w:space="0" w:color="auto"/>
        <w:left w:val="none" w:sz="0" w:space="0" w:color="auto"/>
        <w:bottom w:val="none" w:sz="0" w:space="0" w:color="auto"/>
        <w:right w:val="none" w:sz="0" w:space="0" w:color="auto"/>
      </w:divBdr>
    </w:div>
    <w:div w:id="815028895">
      <w:bodyDiv w:val="1"/>
      <w:marLeft w:val="0"/>
      <w:marRight w:val="0"/>
      <w:marTop w:val="0"/>
      <w:marBottom w:val="0"/>
      <w:divBdr>
        <w:top w:val="none" w:sz="0" w:space="0" w:color="auto"/>
        <w:left w:val="none" w:sz="0" w:space="0" w:color="auto"/>
        <w:bottom w:val="none" w:sz="0" w:space="0" w:color="auto"/>
        <w:right w:val="none" w:sz="0" w:space="0" w:color="auto"/>
      </w:divBdr>
    </w:div>
    <w:div w:id="815730515">
      <w:bodyDiv w:val="1"/>
      <w:marLeft w:val="0"/>
      <w:marRight w:val="0"/>
      <w:marTop w:val="0"/>
      <w:marBottom w:val="0"/>
      <w:divBdr>
        <w:top w:val="none" w:sz="0" w:space="0" w:color="auto"/>
        <w:left w:val="none" w:sz="0" w:space="0" w:color="auto"/>
        <w:bottom w:val="none" w:sz="0" w:space="0" w:color="auto"/>
        <w:right w:val="none" w:sz="0" w:space="0" w:color="auto"/>
      </w:divBdr>
    </w:div>
    <w:div w:id="821771487">
      <w:bodyDiv w:val="1"/>
      <w:marLeft w:val="0"/>
      <w:marRight w:val="0"/>
      <w:marTop w:val="0"/>
      <w:marBottom w:val="0"/>
      <w:divBdr>
        <w:top w:val="none" w:sz="0" w:space="0" w:color="auto"/>
        <w:left w:val="none" w:sz="0" w:space="0" w:color="auto"/>
        <w:bottom w:val="none" w:sz="0" w:space="0" w:color="auto"/>
        <w:right w:val="none" w:sz="0" w:space="0" w:color="auto"/>
      </w:divBdr>
    </w:div>
    <w:div w:id="822353108">
      <w:bodyDiv w:val="1"/>
      <w:marLeft w:val="0"/>
      <w:marRight w:val="0"/>
      <w:marTop w:val="0"/>
      <w:marBottom w:val="0"/>
      <w:divBdr>
        <w:top w:val="none" w:sz="0" w:space="0" w:color="auto"/>
        <w:left w:val="none" w:sz="0" w:space="0" w:color="auto"/>
        <w:bottom w:val="none" w:sz="0" w:space="0" w:color="auto"/>
        <w:right w:val="none" w:sz="0" w:space="0" w:color="auto"/>
      </w:divBdr>
    </w:div>
    <w:div w:id="824856341">
      <w:bodyDiv w:val="1"/>
      <w:marLeft w:val="0"/>
      <w:marRight w:val="0"/>
      <w:marTop w:val="0"/>
      <w:marBottom w:val="0"/>
      <w:divBdr>
        <w:top w:val="none" w:sz="0" w:space="0" w:color="auto"/>
        <w:left w:val="none" w:sz="0" w:space="0" w:color="auto"/>
        <w:bottom w:val="none" w:sz="0" w:space="0" w:color="auto"/>
        <w:right w:val="none" w:sz="0" w:space="0" w:color="auto"/>
      </w:divBdr>
    </w:div>
    <w:div w:id="825704783">
      <w:bodyDiv w:val="1"/>
      <w:marLeft w:val="0"/>
      <w:marRight w:val="0"/>
      <w:marTop w:val="0"/>
      <w:marBottom w:val="0"/>
      <w:divBdr>
        <w:top w:val="none" w:sz="0" w:space="0" w:color="auto"/>
        <w:left w:val="none" w:sz="0" w:space="0" w:color="auto"/>
        <w:bottom w:val="none" w:sz="0" w:space="0" w:color="auto"/>
        <w:right w:val="none" w:sz="0" w:space="0" w:color="auto"/>
      </w:divBdr>
    </w:div>
    <w:div w:id="825783639">
      <w:bodyDiv w:val="1"/>
      <w:marLeft w:val="0"/>
      <w:marRight w:val="0"/>
      <w:marTop w:val="0"/>
      <w:marBottom w:val="0"/>
      <w:divBdr>
        <w:top w:val="none" w:sz="0" w:space="0" w:color="auto"/>
        <w:left w:val="none" w:sz="0" w:space="0" w:color="auto"/>
        <w:bottom w:val="none" w:sz="0" w:space="0" w:color="auto"/>
        <w:right w:val="none" w:sz="0" w:space="0" w:color="auto"/>
      </w:divBdr>
    </w:div>
    <w:div w:id="826945547">
      <w:bodyDiv w:val="1"/>
      <w:marLeft w:val="0"/>
      <w:marRight w:val="0"/>
      <w:marTop w:val="0"/>
      <w:marBottom w:val="0"/>
      <w:divBdr>
        <w:top w:val="none" w:sz="0" w:space="0" w:color="auto"/>
        <w:left w:val="none" w:sz="0" w:space="0" w:color="auto"/>
        <w:bottom w:val="none" w:sz="0" w:space="0" w:color="auto"/>
        <w:right w:val="none" w:sz="0" w:space="0" w:color="auto"/>
      </w:divBdr>
    </w:div>
    <w:div w:id="829176768">
      <w:bodyDiv w:val="1"/>
      <w:marLeft w:val="0"/>
      <w:marRight w:val="0"/>
      <w:marTop w:val="0"/>
      <w:marBottom w:val="0"/>
      <w:divBdr>
        <w:top w:val="none" w:sz="0" w:space="0" w:color="auto"/>
        <w:left w:val="none" w:sz="0" w:space="0" w:color="auto"/>
        <w:bottom w:val="none" w:sz="0" w:space="0" w:color="auto"/>
        <w:right w:val="none" w:sz="0" w:space="0" w:color="auto"/>
      </w:divBdr>
    </w:div>
    <w:div w:id="832455415">
      <w:bodyDiv w:val="1"/>
      <w:marLeft w:val="0"/>
      <w:marRight w:val="0"/>
      <w:marTop w:val="0"/>
      <w:marBottom w:val="0"/>
      <w:divBdr>
        <w:top w:val="none" w:sz="0" w:space="0" w:color="auto"/>
        <w:left w:val="none" w:sz="0" w:space="0" w:color="auto"/>
        <w:bottom w:val="none" w:sz="0" w:space="0" w:color="auto"/>
        <w:right w:val="none" w:sz="0" w:space="0" w:color="auto"/>
      </w:divBdr>
    </w:div>
    <w:div w:id="832843295">
      <w:bodyDiv w:val="1"/>
      <w:marLeft w:val="0"/>
      <w:marRight w:val="0"/>
      <w:marTop w:val="0"/>
      <w:marBottom w:val="0"/>
      <w:divBdr>
        <w:top w:val="none" w:sz="0" w:space="0" w:color="auto"/>
        <w:left w:val="none" w:sz="0" w:space="0" w:color="auto"/>
        <w:bottom w:val="none" w:sz="0" w:space="0" w:color="auto"/>
        <w:right w:val="none" w:sz="0" w:space="0" w:color="auto"/>
      </w:divBdr>
    </w:div>
    <w:div w:id="834303386">
      <w:bodyDiv w:val="1"/>
      <w:marLeft w:val="0"/>
      <w:marRight w:val="0"/>
      <w:marTop w:val="0"/>
      <w:marBottom w:val="0"/>
      <w:divBdr>
        <w:top w:val="none" w:sz="0" w:space="0" w:color="auto"/>
        <w:left w:val="none" w:sz="0" w:space="0" w:color="auto"/>
        <w:bottom w:val="none" w:sz="0" w:space="0" w:color="auto"/>
        <w:right w:val="none" w:sz="0" w:space="0" w:color="auto"/>
      </w:divBdr>
    </w:div>
    <w:div w:id="838160862">
      <w:bodyDiv w:val="1"/>
      <w:marLeft w:val="0"/>
      <w:marRight w:val="0"/>
      <w:marTop w:val="0"/>
      <w:marBottom w:val="0"/>
      <w:divBdr>
        <w:top w:val="none" w:sz="0" w:space="0" w:color="auto"/>
        <w:left w:val="none" w:sz="0" w:space="0" w:color="auto"/>
        <w:bottom w:val="none" w:sz="0" w:space="0" w:color="auto"/>
        <w:right w:val="none" w:sz="0" w:space="0" w:color="auto"/>
      </w:divBdr>
    </w:div>
    <w:div w:id="843206656">
      <w:bodyDiv w:val="1"/>
      <w:marLeft w:val="0"/>
      <w:marRight w:val="0"/>
      <w:marTop w:val="0"/>
      <w:marBottom w:val="0"/>
      <w:divBdr>
        <w:top w:val="none" w:sz="0" w:space="0" w:color="auto"/>
        <w:left w:val="none" w:sz="0" w:space="0" w:color="auto"/>
        <w:bottom w:val="none" w:sz="0" w:space="0" w:color="auto"/>
        <w:right w:val="none" w:sz="0" w:space="0" w:color="auto"/>
      </w:divBdr>
    </w:div>
    <w:div w:id="844904917">
      <w:bodyDiv w:val="1"/>
      <w:marLeft w:val="0"/>
      <w:marRight w:val="0"/>
      <w:marTop w:val="0"/>
      <w:marBottom w:val="0"/>
      <w:divBdr>
        <w:top w:val="none" w:sz="0" w:space="0" w:color="auto"/>
        <w:left w:val="none" w:sz="0" w:space="0" w:color="auto"/>
        <w:bottom w:val="none" w:sz="0" w:space="0" w:color="auto"/>
        <w:right w:val="none" w:sz="0" w:space="0" w:color="auto"/>
      </w:divBdr>
    </w:div>
    <w:div w:id="846017536">
      <w:bodyDiv w:val="1"/>
      <w:marLeft w:val="0"/>
      <w:marRight w:val="0"/>
      <w:marTop w:val="0"/>
      <w:marBottom w:val="0"/>
      <w:divBdr>
        <w:top w:val="none" w:sz="0" w:space="0" w:color="auto"/>
        <w:left w:val="none" w:sz="0" w:space="0" w:color="auto"/>
        <w:bottom w:val="none" w:sz="0" w:space="0" w:color="auto"/>
        <w:right w:val="none" w:sz="0" w:space="0" w:color="auto"/>
      </w:divBdr>
    </w:div>
    <w:div w:id="852690500">
      <w:bodyDiv w:val="1"/>
      <w:marLeft w:val="0"/>
      <w:marRight w:val="0"/>
      <w:marTop w:val="0"/>
      <w:marBottom w:val="0"/>
      <w:divBdr>
        <w:top w:val="none" w:sz="0" w:space="0" w:color="auto"/>
        <w:left w:val="none" w:sz="0" w:space="0" w:color="auto"/>
        <w:bottom w:val="none" w:sz="0" w:space="0" w:color="auto"/>
        <w:right w:val="none" w:sz="0" w:space="0" w:color="auto"/>
      </w:divBdr>
    </w:div>
    <w:div w:id="853109155">
      <w:bodyDiv w:val="1"/>
      <w:marLeft w:val="0"/>
      <w:marRight w:val="0"/>
      <w:marTop w:val="0"/>
      <w:marBottom w:val="0"/>
      <w:divBdr>
        <w:top w:val="none" w:sz="0" w:space="0" w:color="auto"/>
        <w:left w:val="none" w:sz="0" w:space="0" w:color="auto"/>
        <w:bottom w:val="none" w:sz="0" w:space="0" w:color="auto"/>
        <w:right w:val="none" w:sz="0" w:space="0" w:color="auto"/>
      </w:divBdr>
    </w:div>
    <w:div w:id="856771616">
      <w:bodyDiv w:val="1"/>
      <w:marLeft w:val="0"/>
      <w:marRight w:val="0"/>
      <w:marTop w:val="0"/>
      <w:marBottom w:val="0"/>
      <w:divBdr>
        <w:top w:val="none" w:sz="0" w:space="0" w:color="auto"/>
        <w:left w:val="none" w:sz="0" w:space="0" w:color="auto"/>
        <w:bottom w:val="none" w:sz="0" w:space="0" w:color="auto"/>
        <w:right w:val="none" w:sz="0" w:space="0" w:color="auto"/>
      </w:divBdr>
    </w:div>
    <w:div w:id="859128550">
      <w:bodyDiv w:val="1"/>
      <w:marLeft w:val="0"/>
      <w:marRight w:val="0"/>
      <w:marTop w:val="0"/>
      <w:marBottom w:val="0"/>
      <w:divBdr>
        <w:top w:val="none" w:sz="0" w:space="0" w:color="auto"/>
        <w:left w:val="none" w:sz="0" w:space="0" w:color="auto"/>
        <w:bottom w:val="none" w:sz="0" w:space="0" w:color="auto"/>
        <w:right w:val="none" w:sz="0" w:space="0" w:color="auto"/>
      </w:divBdr>
    </w:div>
    <w:div w:id="863831334">
      <w:bodyDiv w:val="1"/>
      <w:marLeft w:val="0"/>
      <w:marRight w:val="0"/>
      <w:marTop w:val="0"/>
      <w:marBottom w:val="0"/>
      <w:divBdr>
        <w:top w:val="none" w:sz="0" w:space="0" w:color="auto"/>
        <w:left w:val="none" w:sz="0" w:space="0" w:color="auto"/>
        <w:bottom w:val="none" w:sz="0" w:space="0" w:color="auto"/>
        <w:right w:val="none" w:sz="0" w:space="0" w:color="auto"/>
      </w:divBdr>
    </w:div>
    <w:div w:id="869144090">
      <w:bodyDiv w:val="1"/>
      <w:marLeft w:val="0"/>
      <w:marRight w:val="0"/>
      <w:marTop w:val="0"/>
      <w:marBottom w:val="0"/>
      <w:divBdr>
        <w:top w:val="none" w:sz="0" w:space="0" w:color="auto"/>
        <w:left w:val="none" w:sz="0" w:space="0" w:color="auto"/>
        <w:bottom w:val="none" w:sz="0" w:space="0" w:color="auto"/>
        <w:right w:val="none" w:sz="0" w:space="0" w:color="auto"/>
      </w:divBdr>
    </w:div>
    <w:div w:id="871498765">
      <w:bodyDiv w:val="1"/>
      <w:marLeft w:val="0"/>
      <w:marRight w:val="0"/>
      <w:marTop w:val="0"/>
      <w:marBottom w:val="0"/>
      <w:divBdr>
        <w:top w:val="none" w:sz="0" w:space="0" w:color="auto"/>
        <w:left w:val="none" w:sz="0" w:space="0" w:color="auto"/>
        <w:bottom w:val="none" w:sz="0" w:space="0" w:color="auto"/>
        <w:right w:val="none" w:sz="0" w:space="0" w:color="auto"/>
      </w:divBdr>
    </w:div>
    <w:div w:id="876821422">
      <w:bodyDiv w:val="1"/>
      <w:marLeft w:val="0"/>
      <w:marRight w:val="0"/>
      <w:marTop w:val="0"/>
      <w:marBottom w:val="0"/>
      <w:divBdr>
        <w:top w:val="none" w:sz="0" w:space="0" w:color="auto"/>
        <w:left w:val="none" w:sz="0" w:space="0" w:color="auto"/>
        <w:bottom w:val="none" w:sz="0" w:space="0" w:color="auto"/>
        <w:right w:val="none" w:sz="0" w:space="0" w:color="auto"/>
      </w:divBdr>
    </w:div>
    <w:div w:id="879781991">
      <w:bodyDiv w:val="1"/>
      <w:marLeft w:val="0"/>
      <w:marRight w:val="0"/>
      <w:marTop w:val="0"/>
      <w:marBottom w:val="0"/>
      <w:divBdr>
        <w:top w:val="none" w:sz="0" w:space="0" w:color="auto"/>
        <w:left w:val="none" w:sz="0" w:space="0" w:color="auto"/>
        <w:bottom w:val="none" w:sz="0" w:space="0" w:color="auto"/>
        <w:right w:val="none" w:sz="0" w:space="0" w:color="auto"/>
      </w:divBdr>
    </w:div>
    <w:div w:id="883560729">
      <w:bodyDiv w:val="1"/>
      <w:marLeft w:val="0"/>
      <w:marRight w:val="0"/>
      <w:marTop w:val="0"/>
      <w:marBottom w:val="0"/>
      <w:divBdr>
        <w:top w:val="none" w:sz="0" w:space="0" w:color="auto"/>
        <w:left w:val="none" w:sz="0" w:space="0" w:color="auto"/>
        <w:bottom w:val="none" w:sz="0" w:space="0" w:color="auto"/>
        <w:right w:val="none" w:sz="0" w:space="0" w:color="auto"/>
      </w:divBdr>
    </w:div>
    <w:div w:id="884833510">
      <w:bodyDiv w:val="1"/>
      <w:marLeft w:val="0"/>
      <w:marRight w:val="0"/>
      <w:marTop w:val="0"/>
      <w:marBottom w:val="0"/>
      <w:divBdr>
        <w:top w:val="none" w:sz="0" w:space="0" w:color="auto"/>
        <w:left w:val="none" w:sz="0" w:space="0" w:color="auto"/>
        <w:bottom w:val="none" w:sz="0" w:space="0" w:color="auto"/>
        <w:right w:val="none" w:sz="0" w:space="0" w:color="auto"/>
      </w:divBdr>
    </w:div>
    <w:div w:id="885675353">
      <w:bodyDiv w:val="1"/>
      <w:marLeft w:val="0"/>
      <w:marRight w:val="0"/>
      <w:marTop w:val="0"/>
      <w:marBottom w:val="0"/>
      <w:divBdr>
        <w:top w:val="none" w:sz="0" w:space="0" w:color="auto"/>
        <w:left w:val="none" w:sz="0" w:space="0" w:color="auto"/>
        <w:bottom w:val="none" w:sz="0" w:space="0" w:color="auto"/>
        <w:right w:val="none" w:sz="0" w:space="0" w:color="auto"/>
      </w:divBdr>
    </w:div>
    <w:div w:id="886912262">
      <w:bodyDiv w:val="1"/>
      <w:marLeft w:val="0"/>
      <w:marRight w:val="0"/>
      <w:marTop w:val="0"/>
      <w:marBottom w:val="0"/>
      <w:divBdr>
        <w:top w:val="none" w:sz="0" w:space="0" w:color="auto"/>
        <w:left w:val="none" w:sz="0" w:space="0" w:color="auto"/>
        <w:bottom w:val="none" w:sz="0" w:space="0" w:color="auto"/>
        <w:right w:val="none" w:sz="0" w:space="0" w:color="auto"/>
      </w:divBdr>
    </w:div>
    <w:div w:id="889538107">
      <w:bodyDiv w:val="1"/>
      <w:marLeft w:val="0"/>
      <w:marRight w:val="0"/>
      <w:marTop w:val="0"/>
      <w:marBottom w:val="0"/>
      <w:divBdr>
        <w:top w:val="none" w:sz="0" w:space="0" w:color="auto"/>
        <w:left w:val="none" w:sz="0" w:space="0" w:color="auto"/>
        <w:bottom w:val="none" w:sz="0" w:space="0" w:color="auto"/>
        <w:right w:val="none" w:sz="0" w:space="0" w:color="auto"/>
      </w:divBdr>
    </w:div>
    <w:div w:id="892236436">
      <w:bodyDiv w:val="1"/>
      <w:marLeft w:val="0"/>
      <w:marRight w:val="0"/>
      <w:marTop w:val="0"/>
      <w:marBottom w:val="0"/>
      <w:divBdr>
        <w:top w:val="none" w:sz="0" w:space="0" w:color="auto"/>
        <w:left w:val="none" w:sz="0" w:space="0" w:color="auto"/>
        <w:bottom w:val="none" w:sz="0" w:space="0" w:color="auto"/>
        <w:right w:val="none" w:sz="0" w:space="0" w:color="auto"/>
      </w:divBdr>
    </w:div>
    <w:div w:id="893077139">
      <w:bodyDiv w:val="1"/>
      <w:marLeft w:val="0"/>
      <w:marRight w:val="0"/>
      <w:marTop w:val="0"/>
      <w:marBottom w:val="0"/>
      <w:divBdr>
        <w:top w:val="none" w:sz="0" w:space="0" w:color="auto"/>
        <w:left w:val="none" w:sz="0" w:space="0" w:color="auto"/>
        <w:bottom w:val="none" w:sz="0" w:space="0" w:color="auto"/>
        <w:right w:val="none" w:sz="0" w:space="0" w:color="auto"/>
      </w:divBdr>
    </w:div>
    <w:div w:id="893393435">
      <w:bodyDiv w:val="1"/>
      <w:marLeft w:val="0"/>
      <w:marRight w:val="0"/>
      <w:marTop w:val="0"/>
      <w:marBottom w:val="0"/>
      <w:divBdr>
        <w:top w:val="none" w:sz="0" w:space="0" w:color="auto"/>
        <w:left w:val="none" w:sz="0" w:space="0" w:color="auto"/>
        <w:bottom w:val="none" w:sz="0" w:space="0" w:color="auto"/>
        <w:right w:val="none" w:sz="0" w:space="0" w:color="auto"/>
      </w:divBdr>
    </w:div>
    <w:div w:id="894194562">
      <w:bodyDiv w:val="1"/>
      <w:marLeft w:val="0"/>
      <w:marRight w:val="0"/>
      <w:marTop w:val="0"/>
      <w:marBottom w:val="0"/>
      <w:divBdr>
        <w:top w:val="none" w:sz="0" w:space="0" w:color="auto"/>
        <w:left w:val="none" w:sz="0" w:space="0" w:color="auto"/>
        <w:bottom w:val="none" w:sz="0" w:space="0" w:color="auto"/>
        <w:right w:val="none" w:sz="0" w:space="0" w:color="auto"/>
      </w:divBdr>
    </w:div>
    <w:div w:id="895167477">
      <w:bodyDiv w:val="1"/>
      <w:marLeft w:val="0"/>
      <w:marRight w:val="0"/>
      <w:marTop w:val="0"/>
      <w:marBottom w:val="0"/>
      <w:divBdr>
        <w:top w:val="none" w:sz="0" w:space="0" w:color="auto"/>
        <w:left w:val="none" w:sz="0" w:space="0" w:color="auto"/>
        <w:bottom w:val="none" w:sz="0" w:space="0" w:color="auto"/>
        <w:right w:val="none" w:sz="0" w:space="0" w:color="auto"/>
      </w:divBdr>
    </w:div>
    <w:div w:id="895821743">
      <w:bodyDiv w:val="1"/>
      <w:marLeft w:val="0"/>
      <w:marRight w:val="0"/>
      <w:marTop w:val="0"/>
      <w:marBottom w:val="0"/>
      <w:divBdr>
        <w:top w:val="none" w:sz="0" w:space="0" w:color="auto"/>
        <w:left w:val="none" w:sz="0" w:space="0" w:color="auto"/>
        <w:bottom w:val="none" w:sz="0" w:space="0" w:color="auto"/>
        <w:right w:val="none" w:sz="0" w:space="0" w:color="auto"/>
      </w:divBdr>
    </w:div>
    <w:div w:id="897594778">
      <w:bodyDiv w:val="1"/>
      <w:marLeft w:val="0"/>
      <w:marRight w:val="0"/>
      <w:marTop w:val="0"/>
      <w:marBottom w:val="0"/>
      <w:divBdr>
        <w:top w:val="none" w:sz="0" w:space="0" w:color="auto"/>
        <w:left w:val="none" w:sz="0" w:space="0" w:color="auto"/>
        <w:bottom w:val="none" w:sz="0" w:space="0" w:color="auto"/>
        <w:right w:val="none" w:sz="0" w:space="0" w:color="auto"/>
      </w:divBdr>
    </w:div>
    <w:div w:id="900215526">
      <w:bodyDiv w:val="1"/>
      <w:marLeft w:val="0"/>
      <w:marRight w:val="0"/>
      <w:marTop w:val="0"/>
      <w:marBottom w:val="0"/>
      <w:divBdr>
        <w:top w:val="none" w:sz="0" w:space="0" w:color="auto"/>
        <w:left w:val="none" w:sz="0" w:space="0" w:color="auto"/>
        <w:bottom w:val="none" w:sz="0" w:space="0" w:color="auto"/>
        <w:right w:val="none" w:sz="0" w:space="0" w:color="auto"/>
      </w:divBdr>
    </w:div>
    <w:div w:id="901598193">
      <w:bodyDiv w:val="1"/>
      <w:marLeft w:val="0"/>
      <w:marRight w:val="0"/>
      <w:marTop w:val="0"/>
      <w:marBottom w:val="0"/>
      <w:divBdr>
        <w:top w:val="none" w:sz="0" w:space="0" w:color="auto"/>
        <w:left w:val="none" w:sz="0" w:space="0" w:color="auto"/>
        <w:bottom w:val="none" w:sz="0" w:space="0" w:color="auto"/>
        <w:right w:val="none" w:sz="0" w:space="0" w:color="auto"/>
      </w:divBdr>
    </w:div>
    <w:div w:id="901715001">
      <w:bodyDiv w:val="1"/>
      <w:marLeft w:val="0"/>
      <w:marRight w:val="0"/>
      <w:marTop w:val="0"/>
      <w:marBottom w:val="0"/>
      <w:divBdr>
        <w:top w:val="none" w:sz="0" w:space="0" w:color="auto"/>
        <w:left w:val="none" w:sz="0" w:space="0" w:color="auto"/>
        <w:bottom w:val="none" w:sz="0" w:space="0" w:color="auto"/>
        <w:right w:val="none" w:sz="0" w:space="0" w:color="auto"/>
      </w:divBdr>
    </w:div>
    <w:div w:id="902713257">
      <w:bodyDiv w:val="1"/>
      <w:marLeft w:val="0"/>
      <w:marRight w:val="0"/>
      <w:marTop w:val="0"/>
      <w:marBottom w:val="0"/>
      <w:divBdr>
        <w:top w:val="none" w:sz="0" w:space="0" w:color="auto"/>
        <w:left w:val="none" w:sz="0" w:space="0" w:color="auto"/>
        <w:bottom w:val="none" w:sz="0" w:space="0" w:color="auto"/>
        <w:right w:val="none" w:sz="0" w:space="0" w:color="auto"/>
      </w:divBdr>
    </w:div>
    <w:div w:id="907110926">
      <w:bodyDiv w:val="1"/>
      <w:marLeft w:val="0"/>
      <w:marRight w:val="0"/>
      <w:marTop w:val="0"/>
      <w:marBottom w:val="0"/>
      <w:divBdr>
        <w:top w:val="none" w:sz="0" w:space="0" w:color="auto"/>
        <w:left w:val="none" w:sz="0" w:space="0" w:color="auto"/>
        <w:bottom w:val="none" w:sz="0" w:space="0" w:color="auto"/>
        <w:right w:val="none" w:sz="0" w:space="0" w:color="auto"/>
      </w:divBdr>
    </w:div>
    <w:div w:id="908536395">
      <w:bodyDiv w:val="1"/>
      <w:marLeft w:val="0"/>
      <w:marRight w:val="0"/>
      <w:marTop w:val="0"/>
      <w:marBottom w:val="0"/>
      <w:divBdr>
        <w:top w:val="none" w:sz="0" w:space="0" w:color="auto"/>
        <w:left w:val="none" w:sz="0" w:space="0" w:color="auto"/>
        <w:bottom w:val="none" w:sz="0" w:space="0" w:color="auto"/>
        <w:right w:val="none" w:sz="0" w:space="0" w:color="auto"/>
      </w:divBdr>
    </w:div>
    <w:div w:id="909460167">
      <w:bodyDiv w:val="1"/>
      <w:marLeft w:val="0"/>
      <w:marRight w:val="0"/>
      <w:marTop w:val="0"/>
      <w:marBottom w:val="0"/>
      <w:divBdr>
        <w:top w:val="none" w:sz="0" w:space="0" w:color="auto"/>
        <w:left w:val="none" w:sz="0" w:space="0" w:color="auto"/>
        <w:bottom w:val="none" w:sz="0" w:space="0" w:color="auto"/>
        <w:right w:val="none" w:sz="0" w:space="0" w:color="auto"/>
      </w:divBdr>
    </w:div>
    <w:div w:id="910887918">
      <w:bodyDiv w:val="1"/>
      <w:marLeft w:val="0"/>
      <w:marRight w:val="0"/>
      <w:marTop w:val="0"/>
      <w:marBottom w:val="0"/>
      <w:divBdr>
        <w:top w:val="none" w:sz="0" w:space="0" w:color="auto"/>
        <w:left w:val="none" w:sz="0" w:space="0" w:color="auto"/>
        <w:bottom w:val="none" w:sz="0" w:space="0" w:color="auto"/>
        <w:right w:val="none" w:sz="0" w:space="0" w:color="auto"/>
      </w:divBdr>
    </w:div>
    <w:div w:id="912816561">
      <w:bodyDiv w:val="1"/>
      <w:marLeft w:val="0"/>
      <w:marRight w:val="0"/>
      <w:marTop w:val="0"/>
      <w:marBottom w:val="0"/>
      <w:divBdr>
        <w:top w:val="none" w:sz="0" w:space="0" w:color="auto"/>
        <w:left w:val="none" w:sz="0" w:space="0" w:color="auto"/>
        <w:bottom w:val="none" w:sz="0" w:space="0" w:color="auto"/>
        <w:right w:val="none" w:sz="0" w:space="0" w:color="auto"/>
      </w:divBdr>
    </w:div>
    <w:div w:id="913852463">
      <w:bodyDiv w:val="1"/>
      <w:marLeft w:val="0"/>
      <w:marRight w:val="0"/>
      <w:marTop w:val="0"/>
      <w:marBottom w:val="0"/>
      <w:divBdr>
        <w:top w:val="none" w:sz="0" w:space="0" w:color="auto"/>
        <w:left w:val="none" w:sz="0" w:space="0" w:color="auto"/>
        <w:bottom w:val="none" w:sz="0" w:space="0" w:color="auto"/>
        <w:right w:val="none" w:sz="0" w:space="0" w:color="auto"/>
      </w:divBdr>
    </w:div>
    <w:div w:id="915088551">
      <w:bodyDiv w:val="1"/>
      <w:marLeft w:val="0"/>
      <w:marRight w:val="0"/>
      <w:marTop w:val="0"/>
      <w:marBottom w:val="0"/>
      <w:divBdr>
        <w:top w:val="none" w:sz="0" w:space="0" w:color="auto"/>
        <w:left w:val="none" w:sz="0" w:space="0" w:color="auto"/>
        <w:bottom w:val="none" w:sz="0" w:space="0" w:color="auto"/>
        <w:right w:val="none" w:sz="0" w:space="0" w:color="auto"/>
      </w:divBdr>
    </w:div>
    <w:div w:id="917053737">
      <w:bodyDiv w:val="1"/>
      <w:marLeft w:val="0"/>
      <w:marRight w:val="0"/>
      <w:marTop w:val="0"/>
      <w:marBottom w:val="0"/>
      <w:divBdr>
        <w:top w:val="none" w:sz="0" w:space="0" w:color="auto"/>
        <w:left w:val="none" w:sz="0" w:space="0" w:color="auto"/>
        <w:bottom w:val="none" w:sz="0" w:space="0" w:color="auto"/>
        <w:right w:val="none" w:sz="0" w:space="0" w:color="auto"/>
      </w:divBdr>
    </w:div>
    <w:div w:id="922182334">
      <w:bodyDiv w:val="1"/>
      <w:marLeft w:val="0"/>
      <w:marRight w:val="0"/>
      <w:marTop w:val="0"/>
      <w:marBottom w:val="0"/>
      <w:divBdr>
        <w:top w:val="none" w:sz="0" w:space="0" w:color="auto"/>
        <w:left w:val="none" w:sz="0" w:space="0" w:color="auto"/>
        <w:bottom w:val="none" w:sz="0" w:space="0" w:color="auto"/>
        <w:right w:val="none" w:sz="0" w:space="0" w:color="auto"/>
      </w:divBdr>
    </w:div>
    <w:div w:id="922496408">
      <w:bodyDiv w:val="1"/>
      <w:marLeft w:val="0"/>
      <w:marRight w:val="0"/>
      <w:marTop w:val="0"/>
      <w:marBottom w:val="0"/>
      <w:divBdr>
        <w:top w:val="none" w:sz="0" w:space="0" w:color="auto"/>
        <w:left w:val="none" w:sz="0" w:space="0" w:color="auto"/>
        <w:bottom w:val="none" w:sz="0" w:space="0" w:color="auto"/>
        <w:right w:val="none" w:sz="0" w:space="0" w:color="auto"/>
      </w:divBdr>
    </w:div>
    <w:div w:id="924530107">
      <w:bodyDiv w:val="1"/>
      <w:marLeft w:val="0"/>
      <w:marRight w:val="0"/>
      <w:marTop w:val="0"/>
      <w:marBottom w:val="0"/>
      <w:divBdr>
        <w:top w:val="none" w:sz="0" w:space="0" w:color="auto"/>
        <w:left w:val="none" w:sz="0" w:space="0" w:color="auto"/>
        <w:bottom w:val="none" w:sz="0" w:space="0" w:color="auto"/>
        <w:right w:val="none" w:sz="0" w:space="0" w:color="auto"/>
      </w:divBdr>
    </w:div>
    <w:div w:id="928541922">
      <w:bodyDiv w:val="1"/>
      <w:marLeft w:val="0"/>
      <w:marRight w:val="0"/>
      <w:marTop w:val="0"/>
      <w:marBottom w:val="0"/>
      <w:divBdr>
        <w:top w:val="none" w:sz="0" w:space="0" w:color="auto"/>
        <w:left w:val="none" w:sz="0" w:space="0" w:color="auto"/>
        <w:bottom w:val="none" w:sz="0" w:space="0" w:color="auto"/>
        <w:right w:val="none" w:sz="0" w:space="0" w:color="auto"/>
      </w:divBdr>
    </w:div>
    <w:div w:id="930359850">
      <w:bodyDiv w:val="1"/>
      <w:marLeft w:val="0"/>
      <w:marRight w:val="0"/>
      <w:marTop w:val="0"/>
      <w:marBottom w:val="0"/>
      <w:divBdr>
        <w:top w:val="none" w:sz="0" w:space="0" w:color="auto"/>
        <w:left w:val="none" w:sz="0" w:space="0" w:color="auto"/>
        <w:bottom w:val="none" w:sz="0" w:space="0" w:color="auto"/>
        <w:right w:val="none" w:sz="0" w:space="0" w:color="auto"/>
      </w:divBdr>
    </w:div>
    <w:div w:id="939340529">
      <w:bodyDiv w:val="1"/>
      <w:marLeft w:val="0"/>
      <w:marRight w:val="0"/>
      <w:marTop w:val="0"/>
      <w:marBottom w:val="0"/>
      <w:divBdr>
        <w:top w:val="none" w:sz="0" w:space="0" w:color="auto"/>
        <w:left w:val="none" w:sz="0" w:space="0" w:color="auto"/>
        <w:bottom w:val="none" w:sz="0" w:space="0" w:color="auto"/>
        <w:right w:val="none" w:sz="0" w:space="0" w:color="auto"/>
      </w:divBdr>
    </w:div>
    <w:div w:id="940379343">
      <w:bodyDiv w:val="1"/>
      <w:marLeft w:val="0"/>
      <w:marRight w:val="0"/>
      <w:marTop w:val="0"/>
      <w:marBottom w:val="0"/>
      <w:divBdr>
        <w:top w:val="none" w:sz="0" w:space="0" w:color="auto"/>
        <w:left w:val="none" w:sz="0" w:space="0" w:color="auto"/>
        <w:bottom w:val="none" w:sz="0" w:space="0" w:color="auto"/>
        <w:right w:val="none" w:sz="0" w:space="0" w:color="auto"/>
      </w:divBdr>
    </w:div>
    <w:div w:id="942031874">
      <w:bodyDiv w:val="1"/>
      <w:marLeft w:val="0"/>
      <w:marRight w:val="0"/>
      <w:marTop w:val="0"/>
      <w:marBottom w:val="0"/>
      <w:divBdr>
        <w:top w:val="none" w:sz="0" w:space="0" w:color="auto"/>
        <w:left w:val="none" w:sz="0" w:space="0" w:color="auto"/>
        <w:bottom w:val="none" w:sz="0" w:space="0" w:color="auto"/>
        <w:right w:val="none" w:sz="0" w:space="0" w:color="auto"/>
      </w:divBdr>
    </w:div>
    <w:div w:id="943000158">
      <w:bodyDiv w:val="1"/>
      <w:marLeft w:val="0"/>
      <w:marRight w:val="0"/>
      <w:marTop w:val="0"/>
      <w:marBottom w:val="0"/>
      <w:divBdr>
        <w:top w:val="none" w:sz="0" w:space="0" w:color="auto"/>
        <w:left w:val="none" w:sz="0" w:space="0" w:color="auto"/>
        <w:bottom w:val="none" w:sz="0" w:space="0" w:color="auto"/>
        <w:right w:val="none" w:sz="0" w:space="0" w:color="auto"/>
      </w:divBdr>
    </w:div>
    <w:div w:id="943221385">
      <w:bodyDiv w:val="1"/>
      <w:marLeft w:val="0"/>
      <w:marRight w:val="0"/>
      <w:marTop w:val="0"/>
      <w:marBottom w:val="0"/>
      <w:divBdr>
        <w:top w:val="none" w:sz="0" w:space="0" w:color="auto"/>
        <w:left w:val="none" w:sz="0" w:space="0" w:color="auto"/>
        <w:bottom w:val="none" w:sz="0" w:space="0" w:color="auto"/>
        <w:right w:val="none" w:sz="0" w:space="0" w:color="auto"/>
      </w:divBdr>
    </w:div>
    <w:div w:id="944072833">
      <w:bodyDiv w:val="1"/>
      <w:marLeft w:val="0"/>
      <w:marRight w:val="0"/>
      <w:marTop w:val="0"/>
      <w:marBottom w:val="0"/>
      <w:divBdr>
        <w:top w:val="none" w:sz="0" w:space="0" w:color="auto"/>
        <w:left w:val="none" w:sz="0" w:space="0" w:color="auto"/>
        <w:bottom w:val="none" w:sz="0" w:space="0" w:color="auto"/>
        <w:right w:val="none" w:sz="0" w:space="0" w:color="auto"/>
      </w:divBdr>
    </w:div>
    <w:div w:id="950472961">
      <w:bodyDiv w:val="1"/>
      <w:marLeft w:val="0"/>
      <w:marRight w:val="0"/>
      <w:marTop w:val="0"/>
      <w:marBottom w:val="0"/>
      <w:divBdr>
        <w:top w:val="none" w:sz="0" w:space="0" w:color="auto"/>
        <w:left w:val="none" w:sz="0" w:space="0" w:color="auto"/>
        <w:bottom w:val="none" w:sz="0" w:space="0" w:color="auto"/>
        <w:right w:val="none" w:sz="0" w:space="0" w:color="auto"/>
      </w:divBdr>
    </w:div>
    <w:div w:id="951325876">
      <w:bodyDiv w:val="1"/>
      <w:marLeft w:val="0"/>
      <w:marRight w:val="0"/>
      <w:marTop w:val="0"/>
      <w:marBottom w:val="0"/>
      <w:divBdr>
        <w:top w:val="none" w:sz="0" w:space="0" w:color="auto"/>
        <w:left w:val="none" w:sz="0" w:space="0" w:color="auto"/>
        <w:bottom w:val="none" w:sz="0" w:space="0" w:color="auto"/>
        <w:right w:val="none" w:sz="0" w:space="0" w:color="auto"/>
      </w:divBdr>
    </w:div>
    <w:div w:id="951404284">
      <w:bodyDiv w:val="1"/>
      <w:marLeft w:val="0"/>
      <w:marRight w:val="0"/>
      <w:marTop w:val="0"/>
      <w:marBottom w:val="0"/>
      <w:divBdr>
        <w:top w:val="none" w:sz="0" w:space="0" w:color="auto"/>
        <w:left w:val="none" w:sz="0" w:space="0" w:color="auto"/>
        <w:bottom w:val="none" w:sz="0" w:space="0" w:color="auto"/>
        <w:right w:val="none" w:sz="0" w:space="0" w:color="auto"/>
      </w:divBdr>
    </w:div>
    <w:div w:id="957372507">
      <w:bodyDiv w:val="1"/>
      <w:marLeft w:val="0"/>
      <w:marRight w:val="0"/>
      <w:marTop w:val="0"/>
      <w:marBottom w:val="0"/>
      <w:divBdr>
        <w:top w:val="none" w:sz="0" w:space="0" w:color="auto"/>
        <w:left w:val="none" w:sz="0" w:space="0" w:color="auto"/>
        <w:bottom w:val="none" w:sz="0" w:space="0" w:color="auto"/>
        <w:right w:val="none" w:sz="0" w:space="0" w:color="auto"/>
      </w:divBdr>
    </w:div>
    <w:div w:id="957755817">
      <w:bodyDiv w:val="1"/>
      <w:marLeft w:val="0"/>
      <w:marRight w:val="0"/>
      <w:marTop w:val="0"/>
      <w:marBottom w:val="0"/>
      <w:divBdr>
        <w:top w:val="none" w:sz="0" w:space="0" w:color="auto"/>
        <w:left w:val="none" w:sz="0" w:space="0" w:color="auto"/>
        <w:bottom w:val="none" w:sz="0" w:space="0" w:color="auto"/>
        <w:right w:val="none" w:sz="0" w:space="0" w:color="auto"/>
      </w:divBdr>
    </w:div>
    <w:div w:id="958531430">
      <w:bodyDiv w:val="1"/>
      <w:marLeft w:val="0"/>
      <w:marRight w:val="0"/>
      <w:marTop w:val="0"/>
      <w:marBottom w:val="0"/>
      <w:divBdr>
        <w:top w:val="none" w:sz="0" w:space="0" w:color="auto"/>
        <w:left w:val="none" w:sz="0" w:space="0" w:color="auto"/>
        <w:bottom w:val="none" w:sz="0" w:space="0" w:color="auto"/>
        <w:right w:val="none" w:sz="0" w:space="0" w:color="auto"/>
      </w:divBdr>
    </w:div>
    <w:div w:id="965476858">
      <w:bodyDiv w:val="1"/>
      <w:marLeft w:val="0"/>
      <w:marRight w:val="0"/>
      <w:marTop w:val="0"/>
      <w:marBottom w:val="0"/>
      <w:divBdr>
        <w:top w:val="none" w:sz="0" w:space="0" w:color="auto"/>
        <w:left w:val="none" w:sz="0" w:space="0" w:color="auto"/>
        <w:bottom w:val="none" w:sz="0" w:space="0" w:color="auto"/>
        <w:right w:val="none" w:sz="0" w:space="0" w:color="auto"/>
      </w:divBdr>
    </w:div>
    <w:div w:id="968784131">
      <w:bodyDiv w:val="1"/>
      <w:marLeft w:val="0"/>
      <w:marRight w:val="0"/>
      <w:marTop w:val="0"/>
      <w:marBottom w:val="0"/>
      <w:divBdr>
        <w:top w:val="none" w:sz="0" w:space="0" w:color="auto"/>
        <w:left w:val="none" w:sz="0" w:space="0" w:color="auto"/>
        <w:bottom w:val="none" w:sz="0" w:space="0" w:color="auto"/>
        <w:right w:val="none" w:sz="0" w:space="0" w:color="auto"/>
      </w:divBdr>
    </w:div>
    <w:div w:id="971011485">
      <w:bodyDiv w:val="1"/>
      <w:marLeft w:val="0"/>
      <w:marRight w:val="0"/>
      <w:marTop w:val="0"/>
      <w:marBottom w:val="0"/>
      <w:divBdr>
        <w:top w:val="none" w:sz="0" w:space="0" w:color="auto"/>
        <w:left w:val="none" w:sz="0" w:space="0" w:color="auto"/>
        <w:bottom w:val="none" w:sz="0" w:space="0" w:color="auto"/>
        <w:right w:val="none" w:sz="0" w:space="0" w:color="auto"/>
      </w:divBdr>
    </w:div>
    <w:div w:id="974333338">
      <w:bodyDiv w:val="1"/>
      <w:marLeft w:val="0"/>
      <w:marRight w:val="0"/>
      <w:marTop w:val="0"/>
      <w:marBottom w:val="0"/>
      <w:divBdr>
        <w:top w:val="none" w:sz="0" w:space="0" w:color="auto"/>
        <w:left w:val="none" w:sz="0" w:space="0" w:color="auto"/>
        <w:bottom w:val="none" w:sz="0" w:space="0" w:color="auto"/>
        <w:right w:val="none" w:sz="0" w:space="0" w:color="auto"/>
      </w:divBdr>
    </w:div>
    <w:div w:id="974868660">
      <w:bodyDiv w:val="1"/>
      <w:marLeft w:val="0"/>
      <w:marRight w:val="0"/>
      <w:marTop w:val="0"/>
      <w:marBottom w:val="0"/>
      <w:divBdr>
        <w:top w:val="none" w:sz="0" w:space="0" w:color="auto"/>
        <w:left w:val="none" w:sz="0" w:space="0" w:color="auto"/>
        <w:bottom w:val="none" w:sz="0" w:space="0" w:color="auto"/>
        <w:right w:val="none" w:sz="0" w:space="0" w:color="auto"/>
      </w:divBdr>
    </w:div>
    <w:div w:id="974987161">
      <w:bodyDiv w:val="1"/>
      <w:marLeft w:val="0"/>
      <w:marRight w:val="0"/>
      <w:marTop w:val="0"/>
      <w:marBottom w:val="0"/>
      <w:divBdr>
        <w:top w:val="none" w:sz="0" w:space="0" w:color="auto"/>
        <w:left w:val="none" w:sz="0" w:space="0" w:color="auto"/>
        <w:bottom w:val="none" w:sz="0" w:space="0" w:color="auto"/>
        <w:right w:val="none" w:sz="0" w:space="0" w:color="auto"/>
      </w:divBdr>
    </w:div>
    <w:div w:id="975381090">
      <w:bodyDiv w:val="1"/>
      <w:marLeft w:val="0"/>
      <w:marRight w:val="0"/>
      <w:marTop w:val="0"/>
      <w:marBottom w:val="0"/>
      <w:divBdr>
        <w:top w:val="none" w:sz="0" w:space="0" w:color="auto"/>
        <w:left w:val="none" w:sz="0" w:space="0" w:color="auto"/>
        <w:bottom w:val="none" w:sz="0" w:space="0" w:color="auto"/>
        <w:right w:val="none" w:sz="0" w:space="0" w:color="auto"/>
      </w:divBdr>
    </w:div>
    <w:div w:id="976840249">
      <w:bodyDiv w:val="1"/>
      <w:marLeft w:val="0"/>
      <w:marRight w:val="0"/>
      <w:marTop w:val="0"/>
      <w:marBottom w:val="0"/>
      <w:divBdr>
        <w:top w:val="none" w:sz="0" w:space="0" w:color="auto"/>
        <w:left w:val="none" w:sz="0" w:space="0" w:color="auto"/>
        <w:bottom w:val="none" w:sz="0" w:space="0" w:color="auto"/>
        <w:right w:val="none" w:sz="0" w:space="0" w:color="auto"/>
      </w:divBdr>
    </w:div>
    <w:div w:id="979269377">
      <w:bodyDiv w:val="1"/>
      <w:marLeft w:val="0"/>
      <w:marRight w:val="0"/>
      <w:marTop w:val="0"/>
      <w:marBottom w:val="0"/>
      <w:divBdr>
        <w:top w:val="none" w:sz="0" w:space="0" w:color="auto"/>
        <w:left w:val="none" w:sz="0" w:space="0" w:color="auto"/>
        <w:bottom w:val="none" w:sz="0" w:space="0" w:color="auto"/>
        <w:right w:val="none" w:sz="0" w:space="0" w:color="auto"/>
      </w:divBdr>
    </w:div>
    <w:div w:id="980034359">
      <w:bodyDiv w:val="1"/>
      <w:marLeft w:val="0"/>
      <w:marRight w:val="0"/>
      <w:marTop w:val="0"/>
      <w:marBottom w:val="0"/>
      <w:divBdr>
        <w:top w:val="none" w:sz="0" w:space="0" w:color="auto"/>
        <w:left w:val="none" w:sz="0" w:space="0" w:color="auto"/>
        <w:bottom w:val="none" w:sz="0" w:space="0" w:color="auto"/>
        <w:right w:val="none" w:sz="0" w:space="0" w:color="auto"/>
      </w:divBdr>
    </w:div>
    <w:div w:id="980504872">
      <w:bodyDiv w:val="1"/>
      <w:marLeft w:val="0"/>
      <w:marRight w:val="0"/>
      <w:marTop w:val="0"/>
      <w:marBottom w:val="0"/>
      <w:divBdr>
        <w:top w:val="none" w:sz="0" w:space="0" w:color="auto"/>
        <w:left w:val="none" w:sz="0" w:space="0" w:color="auto"/>
        <w:bottom w:val="none" w:sz="0" w:space="0" w:color="auto"/>
        <w:right w:val="none" w:sz="0" w:space="0" w:color="auto"/>
      </w:divBdr>
    </w:div>
    <w:div w:id="984234765">
      <w:bodyDiv w:val="1"/>
      <w:marLeft w:val="0"/>
      <w:marRight w:val="0"/>
      <w:marTop w:val="0"/>
      <w:marBottom w:val="0"/>
      <w:divBdr>
        <w:top w:val="none" w:sz="0" w:space="0" w:color="auto"/>
        <w:left w:val="none" w:sz="0" w:space="0" w:color="auto"/>
        <w:bottom w:val="none" w:sz="0" w:space="0" w:color="auto"/>
        <w:right w:val="none" w:sz="0" w:space="0" w:color="auto"/>
      </w:divBdr>
    </w:div>
    <w:div w:id="985158038">
      <w:bodyDiv w:val="1"/>
      <w:marLeft w:val="0"/>
      <w:marRight w:val="0"/>
      <w:marTop w:val="0"/>
      <w:marBottom w:val="0"/>
      <w:divBdr>
        <w:top w:val="none" w:sz="0" w:space="0" w:color="auto"/>
        <w:left w:val="none" w:sz="0" w:space="0" w:color="auto"/>
        <w:bottom w:val="none" w:sz="0" w:space="0" w:color="auto"/>
        <w:right w:val="none" w:sz="0" w:space="0" w:color="auto"/>
      </w:divBdr>
    </w:div>
    <w:div w:id="985671420">
      <w:bodyDiv w:val="1"/>
      <w:marLeft w:val="0"/>
      <w:marRight w:val="0"/>
      <w:marTop w:val="0"/>
      <w:marBottom w:val="0"/>
      <w:divBdr>
        <w:top w:val="none" w:sz="0" w:space="0" w:color="auto"/>
        <w:left w:val="none" w:sz="0" w:space="0" w:color="auto"/>
        <w:bottom w:val="none" w:sz="0" w:space="0" w:color="auto"/>
        <w:right w:val="none" w:sz="0" w:space="0" w:color="auto"/>
      </w:divBdr>
    </w:div>
    <w:div w:id="986128943">
      <w:bodyDiv w:val="1"/>
      <w:marLeft w:val="0"/>
      <w:marRight w:val="0"/>
      <w:marTop w:val="0"/>
      <w:marBottom w:val="0"/>
      <w:divBdr>
        <w:top w:val="none" w:sz="0" w:space="0" w:color="auto"/>
        <w:left w:val="none" w:sz="0" w:space="0" w:color="auto"/>
        <w:bottom w:val="none" w:sz="0" w:space="0" w:color="auto"/>
        <w:right w:val="none" w:sz="0" w:space="0" w:color="auto"/>
      </w:divBdr>
    </w:div>
    <w:div w:id="990643007">
      <w:bodyDiv w:val="1"/>
      <w:marLeft w:val="0"/>
      <w:marRight w:val="0"/>
      <w:marTop w:val="0"/>
      <w:marBottom w:val="0"/>
      <w:divBdr>
        <w:top w:val="none" w:sz="0" w:space="0" w:color="auto"/>
        <w:left w:val="none" w:sz="0" w:space="0" w:color="auto"/>
        <w:bottom w:val="none" w:sz="0" w:space="0" w:color="auto"/>
        <w:right w:val="none" w:sz="0" w:space="0" w:color="auto"/>
      </w:divBdr>
    </w:div>
    <w:div w:id="1002927698">
      <w:bodyDiv w:val="1"/>
      <w:marLeft w:val="0"/>
      <w:marRight w:val="0"/>
      <w:marTop w:val="0"/>
      <w:marBottom w:val="0"/>
      <w:divBdr>
        <w:top w:val="none" w:sz="0" w:space="0" w:color="auto"/>
        <w:left w:val="none" w:sz="0" w:space="0" w:color="auto"/>
        <w:bottom w:val="none" w:sz="0" w:space="0" w:color="auto"/>
        <w:right w:val="none" w:sz="0" w:space="0" w:color="auto"/>
      </w:divBdr>
    </w:div>
    <w:div w:id="1008680061">
      <w:bodyDiv w:val="1"/>
      <w:marLeft w:val="0"/>
      <w:marRight w:val="0"/>
      <w:marTop w:val="0"/>
      <w:marBottom w:val="0"/>
      <w:divBdr>
        <w:top w:val="none" w:sz="0" w:space="0" w:color="auto"/>
        <w:left w:val="none" w:sz="0" w:space="0" w:color="auto"/>
        <w:bottom w:val="none" w:sz="0" w:space="0" w:color="auto"/>
        <w:right w:val="none" w:sz="0" w:space="0" w:color="auto"/>
      </w:divBdr>
    </w:div>
    <w:div w:id="1010565492">
      <w:bodyDiv w:val="1"/>
      <w:marLeft w:val="0"/>
      <w:marRight w:val="0"/>
      <w:marTop w:val="0"/>
      <w:marBottom w:val="0"/>
      <w:divBdr>
        <w:top w:val="none" w:sz="0" w:space="0" w:color="auto"/>
        <w:left w:val="none" w:sz="0" w:space="0" w:color="auto"/>
        <w:bottom w:val="none" w:sz="0" w:space="0" w:color="auto"/>
        <w:right w:val="none" w:sz="0" w:space="0" w:color="auto"/>
      </w:divBdr>
    </w:div>
    <w:div w:id="1012994180">
      <w:bodyDiv w:val="1"/>
      <w:marLeft w:val="0"/>
      <w:marRight w:val="0"/>
      <w:marTop w:val="0"/>
      <w:marBottom w:val="0"/>
      <w:divBdr>
        <w:top w:val="none" w:sz="0" w:space="0" w:color="auto"/>
        <w:left w:val="none" w:sz="0" w:space="0" w:color="auto"/>
        <w:bottom w:val="none" w:sz="0" w:space="0" w:color="auto"/>
        <w:right w:val="none" w:sz="0" w:space="0" w:color="auto"/>
      </w:divBdr>
    </w:div>
    <w:div w:id="1013336234">
      <w:bodyDiv w:val="1"/>
      <w:marLeft w:val="0"/>
      <w:marRight w:val="0"/>
      <w:marTop w:val="0"/>
      <w:marBottom w:val="0"/>
      <w:divBdr>
        <w:top w:val="none" w:sz="0" w:space="0" w:color="auto"/>
        <w:left w:val="none" w:sz="0" w:space="0" w:color="auto"/>
        <w:bottom w:val="none" w:sz="0" w:space="0" w:color="auto"/>
        <w:right w:val="none" w:sz="0" w:space="0" w:color="auto"/>
      </w:divBdr>
    </w:div>
    <w:div w:id="1013653967">
      <w:bodyDiv w:val="1"/>
      <w:marLeft w:val="0"/>
      <w:marRight w:val="0"/>
      <w:marTop w:val="0"/>
      <w:marBottom w:val="0"/>
      <w:divBdr>
        <w:top w:val="none" w:sz="0" w:space="0" w:color="auto"/>
        <w:left w:val="none" w:sz="0" w:space="0" w:color="auto"/>
        <w:bottom w:val="none" w:sz="0" w:space="0" w:color="auto"/>
        <w:right w:val="none" w:sz="0" w:space="0" w:color="auto"/>
      </w:divBdr>
    </w:div>
    <w:div w:id="1015888748">
      <w:bodyDiv w:val="1"/>
      <w:marLeft w:val="0"/>
      <w:marRight w:val="0"/>
      <w:marTop w:val="0"/>
      <w:marBottom w:val="0"/>
      <w:divBdr>
        <w:top w:val="none" w:sz="0" w:space="0" w:color="auto"/>
        <w:left w:val="none" w:sz="0" w:space="0" w:color="auto"/>
        <w:bottom w:val="none" w:sz="0" w:space="0" w:color="auto"/>
        <w:right w:val="none" w:sz="0" w:space="0" w:color="auto"/>
      </w:divBdr>
    </w:div>
    <w:div w:id="1018308525">
      <w:bodyDiv w:val="1"/>
      <w:marLeft w:val="0"/>
      <w:marRight w:val="0"/>
      <w:marTop w:val="0"/>
      <w:marBottom w:val="0"/>
      <w:divBdr>
        <w:top w:val="none" w:sz="0" w:space="0" w:color="auto"/>
        <w:left w:val="none" w:sz="0" w:space="0" w:color="auto"/>
        <w:bottom w:val="none" w:sz="0" w:space="0" w:color="auto"/>
        <w:right w:val="none" w:sz="0" w:space="0" w:color="auto"/>
      </w:divBdr>
    </w:div>
    <w:div w:id="1018433988">
      <w:bodyDiv w:val="1"/>
      <w:marLeft w:val="0"/>
      <w:marRight w:val="0"/>
      <w:marTop w:val="0"/>
      <w:marBottom w:val="0"/>
      <w:divBdr>
        <w:top w:val="none" w:sz="0" w:space="0" w:color="auto"/>
        <w:left w:val="none" w:sz="0" w:space="0" w:color="auto"/>
        <w:bottom w:val="none" w:sz="0" w:space="0" w:color="auto"/>
        <w:right w:val="none" w:sz="0" w:space="0" w:color="auto"/>
      </w:divBdr>
    </w:div>
    <w:div w:id="1020395613">
      <w:bodyDiv w:val="1"/>
      <w:marLeft w:val="0"/>
      <w:marRight w:val="0"/>
      <w:marTop w:val="0"/>
      <w:marBottom w:val="0"/>
      <w:divBdr>
        <w:top w:val="none" w:sz="0" w:space="0" w:color="auto"/>
        <w:left w:val="none" w:sz="0" w:space="0" w:color="auto"/>
        <w:bottom w:val="none" w:sz="0" w:space="0" w:color="auto"/>
        <w:right w:val="none" w:sz="0" w:space="0" w:color="auto"/>
      </w:divBdr>
    </w:div>
    <w:div w:id="1023556185">
      <w:bodyDiv w:val="1"/>
      <w:marLeft w:val="0"/>
      <w:marRight w:val="0"/>
      <w:marTop w:val="0"/>
      <w:marBottom w:val="0"/>
      <w:divBdr>
        <w:top w:val="none" w:sz="0" w:space="0" w:color="auto"/>
        <w:left w:val="none" w:sz="0" w:space="0" w:color="auto"/>
        <w:bottom w:val="none" w:sz="0" w:space="0" w:color="auto"/>
        <w:right w:val="none" w:sz="0" w:space="0" w:color="auto"/>
      </w:divBdr>
    </w:div>
    <w:div w:id="1027293992">
      <w:bodyDiv w:val="1"/>
      <w:marLeft w:val="0"/>
      <w:marRight w:val="0"/>
      <w:marTop w:val="0"/>
      <w:marBottom w:val="0"/>
      <w:divBdr>
        <w:top w:val="none" w:sz="0" w:space="0" w:color="auto"/>
        <w:left w:val="none" w:sz="0" w:space="0" w:color="auto"/>
        <w:bottom w:val="none" w:sz="0" w:space="0" w:color="auto"/>
        <w:right w:val="none" w:sz="0" w:space="0" w:color="auto"/>
      </w:divBdr>
    </w:div>
    <w:div w:id="1029188026">
      <w:bodyDiv w:val="1"/>
      <w:marLeft w:val="0"/>
      <w:marRight w:val="0"/>
      <w:marTop w:val="0"/>
      <w:marBottom w:val="0"/>
      <w:divBdr>
        <w:top w:val="none" w:sz="0" w:space="0" w:color="auto"/>
        <w:left w:val="none" w:sz="0" w:space="0" w:color="auto"/>
        <w:bottom w:val="none" w:sz="0" w:space="0" w:color="auto"/>
        <w:right w:val="none" w:sz="0" w:space="0" w:color="auto"/>
      </w:divBdr>
    </w:div>
    <w:div w:id="1032339689">
      <w:bodyDiv w:val="1"/>
      <w:marLeft w:val="0"/>
      <w:marRight w:val="0"/>
      <w:marTop w:val="0"/>
      <w:marBottom w:val="0"/>
      <w:divBdr>
        <w:top w:val="none" w:sz="0" w:space="0" w:color="auto"/>
        <w:left w:val="none" w:sz="0" w:space="0" w:color="auto"/>
        <w:bottom w:val="none" w:sz="0" w:space="0" w:color="auto"/>
        <w:right w:val="none" w:sz="0" w:space="0" w:color="auto"/>
      </w:divBdr>
    </w:div>
    <w:div w:id="1034038702">
      <w:bodyDiv w:val="1"/>
      <w:marLeft w:val="0"/>
      <w:marRight w:val="0"/>
      <w:marTop w:val="0"/>
      <w:marBottom w:val="0"/>
      <w:divBdr>
        <w:top w:val="none" w:sz="0" w:space="0" w:color="auto"/>
        <w:left w:val="none" w:sz="0" w:space="0" w:color="auto"/>
        <w:bottom w:val="none" w:sz="0" w:space="0" w:color="auto"/>
        <w:right w:val="none" w:sz="0" w:space="0" w:color="auto"/>
      </w:divBdr>
    </w:div>
    <w:div w:id="1036927367">
      <w:bodyDiv w:val="1"/>
      <w:marLeft w:val="0"/>
      <w:marRight w:val="0"/>
      <w:marTop w:val="0"/>
      <w:marBottom w:val="0"/>
      <w:divBdr>
        <w:top w:val="none" w:sz="0" w:space="0" w:color="auto"/>
        <w:left w:val="none" w:sz="0" w:space="0" w:color="auto"/>
        <w:bottom w:val="none" w:sz="0" w:space="0" w:color="auto"/>
        <w:right w:val="none" w:sz="0" w:space="0" w:color="auto"/>
      </w:divBdr>
    </w:div>
    <w:div w:id="1038817227">
      <w:bodyDiv w:val="1"/>
      <w:marLeft w:val="0"/>
      <w:marRight w:val="0"/>
      <w:marTop w:val="0"/>
      <w:marBottom w:val="0"/>
      <w:divBdr>
        <w:top w:val="none" w:sz="0" w:space="0" w:color="auto"/>
        <w:left w:val="none" w:sz="0" w:space="0" w:color="auto"/>
        <w:bottom w:val="none" w:sz="0" w:space="0" w:color="auto"/>
        <w:right w:val="none" w:sz="0" w:space="0" w:color="auto"/>
      </w:divBdr>
    </w:div>
    <w:div w:id="1039086158">
      <w:bodyDiv w:val="1"/>
      <w:marLeft w:val="0"/>
      <w:marRight w:val="0"/>
      <w:marTop w:val="0"/>
      <w:marBottom w:val="0"/>
      <w:divBdr>
        <w:top w:val="none" w:sz="0" w:space="0" w:color="auto"/>
        <w:left w:val="none" w:sz="0" w:space="0" w:color="auto"/>
        <w:bottom w:val="none" w:sz="0" w:space="0" w:color="auto"/>
        <w:right w:val="none" w:sz="0" w:space="0" w:color="auto"/>
      </w:divBdr>
    </w:div>
    <w:div w:id="1041323041">
      <w:bodyDiv w:val="1"/>
      <w:marLeft w:val="0"/>
      <w:marRight w:val="0"/>
      <w:marTop w:val="0"/>
      <w:marBottom w:val="0"/>
      <w:divBdr>
        <w:top w:val="none" w:sz="0" w:space="0" w:color="auto"/>
        <w:left w:val="none" w:sz="0" w:space="0" w:color="auto"/>
        <w:bottom w:val="none" w:sz="0" w:space="0" w:color="auto"/>
        <w:right w:val="none" w:sz="0" w:space="0" w:color="auto"/>
      </w:divBdr>
    </w:div>
    <w:div w:id="1043287607">
      <w:bodyDiv w:val="1"/>
      <w:marLeft w:val="0"/>
      <w:marRight w:val="0"/>
      <w:marTop w:val="0"/>
      <w:marBottom w:val="0"/>
      <w:divBdr>
        <w:top w:val="none" w:sz="0" w:space="0" w:color="auto"/>
        <w:left w:val="none" w:sz="0" w:space="0" w:color="auto"/>
        <w:bottom w:val="none" w:sz="0" w:space="0" w:color="auto"/>
        <w:right w:val="none" w:sz="0" w:space="0" w:color="auto"/>
      </w:divBdr>
    </w:div>
    <w:div w:id="1045837380">
      <w:bodyDiv w:val="1"/>
      <w:marLeft w:val="0"/>
      <w:marRight w:val="0"/>
      <w:marTop w:val="0"/>
      <w:marBottom w:val="0"/>
      <w:divBdr>
        <w:top w:val="none" w:sz="0" w:space="0" w:color="auto"/>
        <w:left w:val="none" w:sz="0" w:space="0" w:color="auto"/>
        <w:bottom w:val="none" w:sz="0" w:space="0" w:color="auto"/>
        <w:right w:val="none" w:sz="0" w:space="0" w:color="auto"/>
      </w:divBdr>
    </w:div>
    <w:div w:id="1047068812">
      <w:bodyDiv w:val="1"/>
      <w:marLeft w:val="0"/>
      <w:marRight w:val="0"/>
      <w:marTop w:val="0"/>
      <w:marBottom w:val="0"/>
      <w:divBdr>
        <w:top w:val="none" w:sz="0" w:space="0" w:color="auto"/>
        <w:left w:val="none" w:sz="0" w:space="0" w:color="auto"/>
        <w:bottom w:val="none" w:sz="0" w:space="0" w:color="auto"/>
        <w:right w:val="none" w:sz="0" w:space="0" w:color="auto"/>
      </w:divBdr>
    </w:div>
    <w:div w:id="1047267649">
      <w:bodyDiv w:val="1"/>
      <w:marLeft w:val="0"/>
      <w:marRight w:val="0"/>
      <w:marTop w:val="0"/>
      <w:marBottom w:val="0"/>
      <w:divBdr>
        <w:top w:val="none" w:sz="0" w:space="0" w:color="auto"/>
        <w:left w:val="none" w:sz="0" w:space="0" w:color="auto"/>
        <w:bottom w:val="none" w:sz="0" w:space="0" w:color="auto"/>
        <w:right w:val="none" w:sz="0" w:space="0" w:color="auto"/>
      </w:divBdr>
    </w:div>
    <w:div w:id="1049917593">
      <w:bodyDiv w:val="1"/>
      <w:marLeft w:val="0"/>
      <w:marRight w:val="0"/>
      <w:marTop w:val="0"/>
      <w:marBottom w:val="0"/>
      <w:divBdr>
        <w:top w:val="none" w:sz="0" w:space="0" w:color="auto"/>
        <w:left w:val="none" w:sz="0" w:space="0" w:color="auto"/>
        <w:bottom w:val="none" w:sz="0" w:space="0" w:color="auto"/>
        <w:right w:val="none" w:sz="0" w:space="0" w:color="auto"/>
      </w:divBdr>
    </w:div>
    <w:div w:id="1051807248">
      <w:bodyDiv w:val="1"/>
      <w:marLeft w:val="0"/>
      <w:marRight w:val="0"/>
      <w:marTop w:val="0"/>
      <w:marBottom w:val="0"/>
      <w:divBdr>
        <w:top w:val="none" w:sz="0" w:space="0" w:color="auto"/>
        <w:left w:val="none" w:sz="0" w:space="0" w:color="auto"/>
        <w:bottom w:val="none" w:sz="0" w:space="0" w:color="auto"/>
        <w:right w:val="none" w:sz="0" w:space="0" w:color="auto"/>
      </w:divBdr>
    </w:div>
    <w:div w:id="1052580533">
      <w:bodyDiv w:val="1"/>
      <w:marLeft w:val="0"/>
      <w:marRight w:val="0"/>
      <w:marTop w:val="0"/>
      <w:marBottom w:val="0"/>
      <w:divBdr>
        <w:top w:val="none" w:sz="0" w:space="0" w:color="auto"/>
        <w:left w:val="none" w:sz="0" w:space="0" w:color="auto"/>
        <w:bottom w:val="none" w:sz="0" w:space="0" w:color="auto"/>
        <w:right w:val="none" w:sz="0" w:space="0" w:color="auto"/>
      </w:divBdr>
    </w:div>
    <w:div w:id="1053652149">
      <w:bodyDiv w:val="1"/>
      <w:marLeft w:val="0"/>
      <w:marRight w:val="0"/>
      <w:marTop w:val="0"/>
      <w:marBottom w:val="0"/>
      <w:divBdr>
        <w:top w:val="none" w:sz="0" w:space="0" w:color="auto"/>
        <w:left w:val="none" w:sz="0" w:space="0" w:color="auto"/>
        <w:bottom w:val="none" w:sz="0" w:space="0" w:color="auto"/>
        <w:right w:val="none" w:sz="0" w:space="0" w:color="auto"/>
      </w:divBdr>
    </w:div>
    <w:div w:id="1053892531">
      <w:bodyDiv w:val="1"/>
      <w:marLeft w:val="0"/>
      <w:marRight w:val="0"/>
      <w:marTop w:val="0"/>
      <w:marBottom w:val="0"/>
      <w:divBdr>
        <w:top w:val="none" w:sz="0" w:space="0" w:color="auto"/>
        <w:left w:val="none" w:sz="0" w:space="0" w:color="auto"/>
        <w:bottom w:val="none" w:sz="0" w:space="0" w:color="auto"/>
        <w:right w:val="none" w:sz="0" w:space="0" w:color="auto"/>
      </w:divBdr>
    </w:div>
    <w:div w:id="1055855815">
      <w:bodyDiv w:val="1"/>
      <w:marLeft w:val="0"/>
      <w:marRight w:val="0"/>
      <w:marTop w:val="0"/>
      <w:marBottom w:val="0"/>
      <w:divBdr>
        <w:top w:val="none" w:sz="0" w:space="0" w:color="auto"/>
        <w:left w:val="none" w:sz="0" w:space="0" w:color="auto"/>
        <w:bottom w:val="none" w:sz="0" w:space="0" w:color="auto"/>
        <w:right w:val="none" w:sz="0" w:space="0" w:color="auto"/>
      </w:divBdr>
    </w:div>
    <w:div w:id="1056123372">
      <w:bodyDiv w:val="1"/>
      <w:marLeft w:val="0"/>
      <w:marRight w:val="0"/>
      <w:marTop w:val="0"/>
      <w:marBottom w:val="0"/>
      <w:divBdr>
        <w:top w:val="none" w:sz="0" w:space="0" w:color="auto"/>
        <w:left w:val="none" w:sz="0" w:space="0" w:color="auto"/>
        <w:bottom w:val="none" w:sz="0" w:space="0" w:color="auto"/>
        <w:right w:val="none" w:sz="0" w:space="0" w:color="auto"/>
      </w:divBdr>
    </w:div>
    <w:div w:id="1057317122">
      <w:bodyDiv w:val="1"/>
      <w:marLeft w:val="0"/>
      <w:marRight w:val="0"/>
      <w:marTop w:val="0"/>
      <w:marBottom w:val="0"/>
      <w:divBdr>
        <w:top w:val="none" w:sz="0" w:space="0" w:color="auto"/>
        <w:left w:val="none" w:sz="0" w:space="0" w:color="auto"/>
        <w:bottom w:val="none" w:sz="0" w:space="0" w:color="auto"/>
        <w:right w:val="none" w:sz="0" w:space="0" w:color="auto"/>
      </w:divBdr>
    </w:div>
    <w:div w:id="1058632831">
      <w:bodyDiv w:val="1"/>
      <w:marLeft w:val="0"/>
      <w:marRight w:val="0"/>
      <w:marTop w:val="0"/>
      <w:marBottom w:val="0"/>
      <w:divBdr>
        <w:top w:val="none" w:sz="0" w:space="0" w:color="auto"/>
        <w:left w:val="none" w:sz="0" w:space="0" w:color="auto"/>
        <w:bottom w:val="none" w:sz="0" w:space="0" w:color="auto"/>
        <w:right w:val="none" w:sz="0" w:space="0" w:color="auto"/>
      </w:divBdr>
    </w:div>
    <w:div w:id="1060321461">
      <w:bodyDiv w:val="1"/>
      <w:marLeft w:val="0"/>
      <w:marRight w:val="0"/>
      <w:marTop w:val="0"/>
      <w:marBottom w:val="0"/>
      <w:divBdr>
        <w:top w:val="none" w:sz="0" w:space="0" w:color="auto"/>
        <w:left w:val="none" w:sz="0" w:space="0" w:color="auto"/>
        <w:bottom w:val="none" w:sz="0" w:space="0" w:color="auto"/>
        <w:right w:val="none" w:sz="0" w:space="0" w:color="auto"/>
      </w:divBdr>
    </w:div>
    <w:div w:id="1061322585">
      <w:bodyDiv w:val="1"/>
      <w:marLeft w:val="0"/>
      <w:marRight w:val="0"/>
      <w:marTop w:val="0"/>
      <w:marBottom w:val="0"/>
      <w:divBdr>
        <w:top w:val="none" w:sz="0" w:space="0" w:color="auto"/>
        <w:left w:val="none" w:sz="0" w:space="0" w:color="auto"/>
        <w:bottom w:val="none" w:sz="0" w:space="0" w:color="auto"/>
        <w:right w:val="none" w:sz="0" w:space="0" w:color="auto"/>
      </w:divBdr>
    </w:div>
    <w:div w:id="1063062441">
      <w:bodyDiv w:val="1"/>
      <w:marLeft w:val="0"/>
      <w:marRight w:val="0"/>
      <w:marTop w:val="0"/>
      <w:marBottom w:val="0"/>
      <w:divBdr>
        <w:top w:val="none" w:sz="0" w:space="0" w:color="auto"/>
        <w:left w:val="none" w:sz="0" w:space="0" w:color="auto"/>
        <w:bottom w:val="none" w:sz="0" w:space="0" w:color="auto"/>
        <w:right w:val="none" w:sz="0" w:space="0" w:color="auto"/>
      </w:divBdr>
    </w:div>
    <w:div w:id="1065490603">
      <w:bodyDiv w:val="1"/>
      <w:marLeft w:val="0"/>
      <w:marRight w:val="0"/>
      <w:marTop w:val="0"/>
      <w:marBottom w:val="0"/>
      <w:divBdr>
        <w:top w:val="none" w:sz="0" w:space="0" w:color="auto"/>
        <w:left w:val="none" w:sz="0" w:space="0" w:color="auto"/>
        <w:bottom w:val="none" w:sz="0" w:space="0" w:color="auto"/>
        <w:right w:val="none" w:sz="0" w:space="0" w:color="auto"/>
      </w:divBdr>
    </w:div>
    <w:div w:id="1065640201">
      <w:bodyDiv w:val="1"/>
      <w:marLeft w:val="0"/>
      <w:marRight w:val="0"/>
      <w:marTop w:val="0"/>
      <w:marBottom w:val="0"/>
      <w:divBdr>
        <w:top w:val="none" w:sz="0" w:space="0" w:color="auto"/>
        <w:left w:val="none" w:sz="0" w:space="0" w:color="auto"/>
        <w:bottom w:val="none" w:sz="0" w:space="0" w:color="auto"/>
        <w:right w:val="none" w:sz="0" w:space="0" w:color="auto"/>
      </w:divBdr>
    </w:div>
    <w:div w:id="1066757796">
      <w:bodyDiv w:val="1"/>
      <w:marLeft w:val="0"/>
      <w:marRight w:val="0"/>
      <w:marTop w:val="0"/>
      <w:marBottom w:val="0"/>
      <w:divBdr>
        <w:top w:val="none" w:sz="0" w:space="0" w:color="auto"/>
        <w:left w:val="none" w:sz="0" w:space="0" w:color="auto"/>
        <w:bottom w:val="none" w:sz="0" w:space="0" w:color="auto"/>
        <w:right w:val="none" w:sz="0" w:space="0" w:color="auto"/>
      </w:divBdr>
    </w:div>
    <w:div w:id="1067000096">
      <w:bodyDiv w:val="1"/>
      <w:marLeft w:val="0"/>
      <w:marRight w:val="0"/>
      <w:marTop w:val="0"/>
      <w:marBottom w:val="0"/>
      <w:divBdr>
        <w:top w:val="none" w:sz="0" w:space="0" w:color="auto"/>
        <w:left w:val="none" w:sz="0" w:space="0" w:color="auto"/>
        <w:bottom w:val="none" w:sz="0" w:space="0" w:color="auto"/>
        <w:right w:val="none" w:sz="0" w:space="0" w:color="auto"/>
      </w:divBdr>
    </w:div>
    <w:div w:id="1069621534">
      <w:bodyDiv w:val="1"/>
      <w:marLeft w:val="0"/>
      <w:marRight w:val="0"/>
      <w:marTop w:val="0"/>
      <w:marBottom w:val="0"/>
      <w:divBdr>
        <w:top w:val="none" w:sz="0" w:space="0" w:color="auto"/>
        <w:left w:val="none" w:sz="0" w:space="0" w:color="auto"/>
        <w:bottom w:val="none" w:sz="0" w:space="0" w:color="auto"/>
        <w:right w:val="none" w:sz="0" w:space="0" w:color="auto"/>
      </w:divBdr>
    </w:div>
    <w:div w:id="1070662340">
      <w:bodyDiv w:val="1"/>
      <w:marLeft w:val="0"/>
      <w:marRight w:val="0"/>
      <w:marTop w:val="0"/>
      <w:marBottom w:val="0"/>
      <w:divBdr>
        <w:top w:val="none" w:sz="0" w:space="0" w:color="auto"/>
        <w:left w:val="none" w:sz="0" w:space="0" w:color="auto"/>
        <w:bottom w:val="none" w:sz="0" w:space="0" w:color="auto"/>
        <w:right w:val="none" w:sz="0" w:space="0" w:color="auto"/>
      </w:divBdr>
    </w:div>
    <w:div w:id="1071661953">
      <w:bodyDiv w:val="1"/>
      <w:marLeft w:val="0"/>
      <w:marRight w:val="0"/>
      <w:marTop w:val="0"/>
      <w:marBottom w:val="0"/>
      <w:divBdr>
        <w:top w:val="none" w:sz="0" w:space="0" w:color="auto"/>
        <w:left w:val="none" w:sz="0" w:space="0" w:color="auto"/>
        <w:bottom w:val="none" w:sz="0" w:space="0" w:color="auto"/>
        <w:right w:val="none" w:sz="0" w:space="0" w:color="auto"/>
      </w:divBdr>
    </w:div>
    <w:div w:id="1074930557">
      <w:bodyDiv w:val="1"/>
      <w:marLeft w:val="0"/>
      <w:marRight w:val="0"/>
      <w:marTop w:val="0"/>
      <w:marBottom w:val="0"/>
      <w:divBdr>
        <w:top w:val="none" w:sz="0" w:space="0" w:color="auto"/>
        <w:left w:val="none" w:sz="0" w:space="0" w:color="auto"/>
        <w:bottom w:val="none" w:sz="0" w:space="0" w:color="auto"/>
        <w:right w:val="none" w:sz="0" w:space="0" w:color="auto"/>
      </w:divBdr>
    </w:div>
    <w:div w:id="1076705880">
      <w:bodyDiv w:val="1"/>
      <w:marLeft w:val="0"/>
      <w:marRight w:val="0"/>
      <w:marTop w:val="0"/>
      <w:marBottom w:val="0"/>
      <w:divBdr>
        <w:top w:val="none" w:sz="0" w:space="0" w:color="auto"/>
        <w:left w:val="none" w:sz="0" w:space="0" w:color="auto"/>
        <w:bottom w:val="none" w:sz="0" w:space="0" w:color="auto"/>
        <w:right w:val="none" w:sz="0" w:space="0" w:color="auto"/>
      </w:divBdr>
    </w:div>
    <w:div w:id="1078553394">
      <w:bodyDiv w:val="1"/>
      <w:marLeft w:val="0"/>
      <w:marRight w:val="0"/>
      <w:marTop w:val="0"/>
      <w:marBottom w:val="0"/>
      <w:divBdr>
        <w:top w:val="none" w:sz="0" w:space="0" w:color="auto"/>
        <w:left w:val="none" w:sz="0" w:space="0" w:color="auto"/>
        <w:bottom w:val="none" w:sz="0" w:space="0" w:color="auto"/>
        <w:right w:val="none" w:sz="0" w:space="0" w:color="auto"/>
      </w:divBdr>
      <w:divsChild>
        <w:div w:id="111246526">
          <w:marLeft w:val="0"/>
          <w:marRight w:val="0"/>
          <w:marTop w:val="0"/>
          <w:marBottom w:val="0"/>
          <w:divBdr>
            <w:top w:val="none" w:sz="0" w:space="0" w:color="auto"/>
            <w:left w:val="none" w:sz="0" w:space="0" w:color="auto"/>
            <w:bottom w:val="none" w:sz="0" w:space="0" w:color="auto"/>
            <w:right w:val="none" w:sz="0" w:space="0" w:color="auto"/>
          </w:divBdr>
          <w:divsChild>
            <w:div w:id="2109227767">
              <w:marLeft w:val="0"/>
              <w:marRight w:val="0"/>
              <w:marTop w:val="0"/>
              <w:marBottom w:val="0"/>
              <w:divBdr>
                <w:top w:val="none" w:sz="0" w:space="0" w:color="auto"/>
                <w:left w:val="none" w:sz="0" w:space="0" w:color="auto"/>
                <w:bottom w:val="none" w:sz="0" w:space="0" w:color="auto"/>
                <w:right w:val="none" w:sz="0" w:space="0" w:color="auto"/>
              </w:divBdr>
              <w:divsChild>
                <w:div w:id="1620991419">
                  <w:marLeft w:val="0"/>
                  <w:marRight w:val="0"/>
                  <w:marTop w:val="0"/>
                  <w:marBottom w:val="0"/>
                  <w:divBdr>
                    <w:top w:val="none" w:sz="0" w:space="0" w:color="auto"/>
                    <w:left w:val="none" w:sz="0" w:space="0" w:color="auto"/>
                    <w:bottom w:val="none" w:sz="0" w:space="0" w:color="auto"/>
                    <w:right w:val="none" w:sz="0" w:space="0" w:color="auto"/>
                  </w:divBdr>
                  <w:divsChild>
                    <w:div w:id="2044820805">
                      <w:marLeft w:val="0"/>
                      <w:marRight w:val="0"/>
                      <w:marTop w:val="0"/>
                      <w:marBottom w:val="0"/>
                      <w:divBdr>
                        <w:top w:val="none" w:sz="0" w:space="0" w:color="auto"/>
                        <w:left w:val="none" w:sz="0" w:space="0" w:color="auto"/>
                        <w:bottom w:val="none" w:sz="0" w:space="0" w:color="auto"/>
                        <w:right w:val="none" w:sz="0" w:space="0" w:color="auto"/>
                      </w:divBdr>
                      <w:divsChild>
                        <w:div w:id="1974751528">
                          <w:marLeft w:val="0"/>
                          <w:marRight w:val="0"/>
                          <w:marTop w:val="100"/>
                          <w:marBottom w:val="100"/>
                          <w:divBdr>
                            <w:top w:val="none" w:sz="0" w:space="0" w:color="auto"/>
                            <w:left w:val="none" w:sz="0" w:space="0" w:color="auto"/>
                            <w:bottom w:val="none" w:sz="0" w:space="0" w:color="auto"/>
                            <w:right w:val="none" w:sz="0" w:space="0" w:color="auto"/>
                          </w:divBdr>
                          <w:divsChild>
                            <w:div w:id="1071275094">
                              <w:marLeft w:val="0"/>
                              <w:marRight w:val="0"/>
                              <w:marTop w:val="0"/>
                              <w:marBottom w:val="0"/>
                              <w:divBdr>
                                <w:top w:val="none" w:sz="0" w:space="0" w:color="000000"/>
                                <w:left w:val="none" w:sz="0" w:space="0" w:color="000000"/>
                                <w:bottom w:val="none" w:sz="0" w:space="0" w:color="000000"/>
                                <w:right w:val="none" w:sz="0" w:space="0" w:color="000000"/>
                              </w:divBdr>
                              <w:divsChild>
                                <w:div w:id="63163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1869635">
      <w:bodyDiv w:val="1"/>
      <w:marLeft w:val="0"/>
      <w:marRight w:val="0"/>
      <w:marTop w:val="0"/>
      <w:marBottom w:val="0"/>
      <w:divBdr>
        <w:top w:val="none" w:sz="0" w:space="0" w:color="auto"/>
        <w:left w:val="none" w:sz="0" w:space="0" w:color="auto"/>
        <w:bottom w:val="none" w:sz="0" w:space="0" w:color="auto"/>
        <w:right w:val="none" w:sz="0" w:space="0" w:color="auto"/>
      </w:divBdr>
    </w:div>
    <w:div w:id="1085030796">
      <w:bodyDiv w:val="1"/>
      <w:marLeft w:val="0"/>
      <w:marRight w:val="0"/>
      <w:marTop w:val="0"/>
      <w:marBottom w:val="0"/>
      <w:divBdr>
        <w:top w:val="none" w:sz="0" w:space="0" w:color="auto"/>
        <w:left w:val="none" w:sz="0" w:space="0" w:color="auto"/>
        <w:bottom w:val="none" w:sz="0" w:space="0" w:color="auto"/>
        <w:right w:val="none" w:sz="0" w:space="0" w:color="auto"/>
      </w:divBdr>
    </w:div>
    <w:div w:id="1086535124">
      <w:bodyDiv w:val="1"/>
      <w:marLeft w:val="0"/>
      <w:marRight w:val="0"/>
      <w:marTop w:val="0"/>
      <w:marBottom w:val="0"/>
      <w:divBdr>
        <w:top w:val="none" w:sz="0" w:space="0" w:color="auto"/>
        <w:left w:val="none" w:sz="0" w:space="0" w:color="auto"/>
        <w:bottom w:val="none" w:sz="0" w:space="0" w:color="auto"/>
        <w:right w:val="none" w:sz="0" w:space="0" w:color="auto"/>
      </w:divBdr>
    </w:div>
    <w:div w:id="1090198911">
      <w:bodyDiv w:val="1"/>
      <w:marLeft w:val="0"/>
      <w:marRight w:val="0"/>
      <w:marTop w:val="0"/>
      <w:marBottom w:val="0"/>
      <w:divBdr>
        <w:top w:val="none" w:sz="0" w:space="0" w:color="auto"/>
        <w:left w:val="none" w:sz="0" w:space="0" w:color="auto"/>
        <w:bottom w:val="none" w:sz="0" w:space="0" w:color="auto"/>
        <w:right w:val="none" w:sz="0" w:space="0" w:color="auto"/>
      </w:divBdr>
    </w:div>
    <w:div w:id="1094591947">
      <w:bodyDiv w:val="1"/>
      <w:marLeft w:val="0"/>
      <w:marRight w:val="0"/>
      <w:marTop w:val="0"/>
      <w:marBottom w:val="0"/>
      <w:divBdr>
        <w:top w:val="none" w:sz="0" w:space="0" w:color="auto"/>
        <w:left w:val="none" w:sz="0" w:space="0" w:color="auto"/>
        <w:bottom w:val="none" w:sz="0" w:space="0" w:color="auto"/>
        <w:right w:val="none" w:sz="0" w:space="0" w:color="auto"/>
      </w:divBdr>
    </w:div>
    <w:div w:id="1094864025">
      <w:bodyDiv w:val="1"/>
      <w:marLeft w:val="0"/>
      <w:marRight w:val="0"/>
      <w:marTop w:val="0"/>
      <w:marBottom w:val="0"/>
      <w:divBdr>
        <w:top w:val="none" w:sz="0" w:space="0" w:color="auto"/>
        <w:left w:val="none" w:sz="0" w:space="0" w:color="auto"/>
        <w:bottom w:val="none" w:sz="0" w:space="0" w:color="auto"/>
        <w:right w:val="none" w:sz="0" w:space="0" w:color="auto"/>
      </w:divBdr>
    </w:div>
    <w:div w:id="1096291053">
      <w:bodyDiv w:val="1"/>
      <w:marLeft w:val="0"/>
      <w:marRight w:val="0"/>
      <w:marTop w:val="0"/>
      <w:marBottom w:val="0"/>
      <w:divBdr>
        <w:top w:val="none" w:sz="0" w:space="0" w:color="auto"/>
        <w:left w:val="none" w:sz="0" w:space="0" w:color="auto"/>
        <w:bottom w:val="none" w:sz="0" w:space="0" w:color="auto"/>
        <w:right w:val="none" w:sz="0" w:space="0" w:color="auto"/>
      </w:divBdr>
    </w:div>
    <w:div w:id="1099333168">
      <w:bodyDiv w:val="1"/>
      <w:marLeft w:val="0"/>
      <w:marRight w:val="0"/>
      <w:marTop w:val="0"/>
      <w:marBottom w:val="0"/>
      <w:divBdr>
        <w:top w:val="none" w:sz="0" w:space="0" w:color="auto"/>
        <w:left w:val="none" w:sz="0" w:space="0" w:color="auto"/>
        <w:bottom w:val="none" w:sz="0" w:space="0" w:color="auto"/>
        <w:right w:val="none" w:sz="0" w:space="0" w:color="auto"/>
      </w:divBdr>
    </w:div>
    <w:div w:id="1101878727">
      <w:bodyDiv w:val="1"/>
      <w:marLeft w:val="0"/>
      <w:marRight w:val="0"/>
      <w:marTop w:val="0"/>
      <w:marBottom w:val="0"/>
      <w:divBdr>
        <w:top w:val="none" w:sz="0" w:space="0" w:color="auto"/>
        <w:left w:val="none" w:sz="0" w:space="0" w:color="auto"/>
        <w:bottom w:val="none" w:sz="0" w:space="0" w:color="auto"/>
        <w:right w:val="none" w:sz="0" w:space="0" w:color="auto"/>
      </w:divBdr>
    </w:div>
    <w:div w:id="1102146482">
      <w:bodyDiv w:val="1"/>
      <w:marLeft w:val="0"/>
      <w:marRight w:val="0"/>
      <w:marTop w:val="0"/>
      <w:marBottom w:val="0"/>
      <w:divBdr>
        <w:top w:val="none" w:sz="0" w:space="0" w:color="auto"/>
        <w:left w:val="none" w:sz="0" w:space="0" w:color="auto"/>
        <w:bottom w:val="none" w:sz="0" w:space="0" w:color="auto"/>
        <w:right w:val="none" w:sz="0" w:space="0" w:color="auto"/>
      </w:divBdr>
    </w:div>
    <w:div w:id="1105228776">
      <w:bodyDiv w:val="1"/>
      <w:marLeft w:val="0"/>
      <w:marRight w:val="0"/>
      <w:marTop w:val="0"/>
      <w:marBottom w:val="0"/>
      <w:divBdr>
        <w:top w:val="none" w:sz="0" w:space="0" w:color="auto"/>
        <w:left w:val="none" w:sz="0" w:space="0" w:color="auto"/>
        <w:bottom w:val="none" w:sz="0" w:space="0" w:color="auto"/>
        <w:right w:val="none" w:sz="0" w:space="0" w:color="auto"/>
      </w:divBdr>
    </w:div>
    <w:div w:id="1109665639">
      <w:bodyDiv w:val="1"/>
      <w:marLeft w:val="0"/>
      <w:marRight w:val="0"/>
      <w:marTop w:val="0"/>
      <w:marBottom w:val="0"/>
      <w:divBdr>
        <w:top w:val="none" w:sz="0" w:space="0" w:color="auto"/>
        <w:left w:val="none" w:sz="0" w:space="0" w:color="auto"/>
        <w:bottom w:val="none" w:sz="0" w:space="0" w:color="auto"/>
        <w:right w:val="none" w:sz="0" w:space="0" w:color="auto"/>
      </w:divBdr>
    </w:div>
    <w:div w:id="1112238436">
      <w:bodyDiv w:val="1"/>
      <w:marLeft w:val="0"/>
      <w:marRight w:val="0"/>
      <w:marTop w:val="0"/>
      <w:marBottom w:val="0"/>
      <w:divBdr>
        <w:top w:val="none" w:sz="0" w:space="0" w:color="auto"/>
        <w:left w:val="none" w:sz="0" w:space="0" w:color="auto"/>
        <w:bottom w:val="none" w:sz="0" w:space="0" w:color="auto"/>
        <w:right w:val="none" w:sz="0" w:space="0" w:color="auto"/>
      </w:divBdr>
    </w:div>
    <w:div w:id="1113742735">
      <w:bodyDiv w:val="1"/>
      <w:marLeft w:val="0"/>
      <w:marRight w:val="0"/>
      <w:marTop w:val="0"/>
      <w:marBottom w:val="0"/>
      <w:divBdr>
        <w:top w:val="none" w:sz="0" w:space="0" w:color="auto"/>
        <w:left w:val="none" w:sz="0" w:space="0" w:color="auto"/>
        <w:bottom w:val="none" w:sz="0" w:space="0" w:color="auto"/>
        <w:right w:val="none" w:sz="0" w:space="0" w:color="auto"/>
      </w:divBdr>
    </w:div>
    <w:div w:id="1126044971">
      <w:bodyDiv w:val="1"/>
      <w:marLeft w:val="0"/>
      <w:marRight w:val="0"/>
      <w:marTop w:val="0"/>
      <w:marBottom w:val="0"/>
      <w:divBdr>
        <w:top w:val="none" w:sz="0" w:space="0" w:color="auto"/>
        <w:left w:val="none" w:sz="0" w:space="0" w:color="auto"/>
        <w:bottom w:val="none" w:sz="0" w:space="0" w:color="auto"/>
        <w:right w:val="none" w:sz="0" w:space="0" w:color="auto"/>
      </w:divBdr>
    </w:div>
    <w:div w:id="1130245894">
      <w:bodyDiv w:val="1"/>
      <w:marLeft w:val="0"/>
      <w:marRight w:val="0"/>
      <w:marTop w:val="0"/>
      <w:marBottom w:val="0"/>
      <w:divBdr>
        <w:top w:val="none" w:sz="0" w:space="0" w:color="auto"/>
        <w:left w:val="none" w:sz="0" w:space="0" w:color="auto"/>
        <w:bottom w:val="none" w:sz="0" w:space="0" w:color="auto"/>
        <w:right w:val="none" w:sz="0" w:space="0" w:color="auto"/>
      </w:divBdr>
    </w:div>
    <w:div w:id="1132868120">
      <w:bodyDiv w:val="1"/>
      <w:marLeft w:val="0"/>
      <w:marRight w:val="0"/>
      <w:marTop w:val="0"/>
      <w:marBottom w:val="0"/>
      <w:divBdr>
        <w:top w:val="none" w:sz="0" w:space="0" w:color="auto"/>
        <w:left w:val="none" w:sz="0" w:space="0" w:color="auto"/>
        <w:bottom w:val="none" w:sz="0" w:space="0" w:color="auto"/>
        <w:right w:val="none" w:sz="0" w:space="0" w:color="auto"/>
      </w:divBdr>
    </w:div>
    <w:div w:id="1133327452">
      <w:bodyDiv w:val="1"/>
      <w:marLeft w:val="0"/>
      <w:marRight w:val="0"/>
      <w:marTop w:val="0"/>
      <w:marBottom w:val="0"/>
      <w:divBdr>
        <w:top w:val="none" w:sz="0" w:space="0" w:color="auto"/>
        <w:left w:val="none" w:sz="0" w:space="0" w:color="auto"/>
        <w:bottom w:val="none" w:sz="0" w:space="0" w:color="auto"/>
        <w:right w:val="none" w:sz="0" w:space="0" w:color="auto"/>
      </w:divBdr>
    </w:div>
    <w:div w:id="1141197086">
      <w:bodyDiv w:val="1"/>
      <w:marLeft w:val="0"/>
      <w:marRight w:val="0"/>
      <w:marTop w:val="0"/>
      <w:marBottom w:val="0"/>
      <w:divBdr>
        <w:top w:val="none" w:sz="0" w:space="0" w:color="auto"/>
        <w:left w:val="none" w:sz="0" w:space="0" w:color="auto"/>
        <w:bottom w:val="none" w:sz="0" w:space="0" w:color="auto"/>
        <w:right w:val="none" w:sz="0" w:space="0" w:color="auto"/>
      </w:divBdr>
    </w:div>
    <w:div w:id="1142891291">
      <w:bodyDiv w:val="1"/>
      <w:marLeft w:val="0"/>
      <w:marRight w:val="0"/>
      <w:marTop w:val="0"/>
      <w:marBottom w:val="0"/>
      <w:divBdr>
        <w:top w:val="none" w:sz="0" w:space="0" w:color="auto"/>
        <w:left w:val="none" w:sz="0" w:space="0" w:color="auto"/>
        <w:bottom w:val="none" w:sz="0" w:space="0" w:color="auto"/>
        <w:right w:val="none" w:sz="0" w:space="0" w:color="auto"/>
      </w:divBdr>
    </w:div>
    <w:div w:id="1143811914">
      <w:bodyDiv w:val="1"/>
      <w:marLeft w:val="0"/>
      <w:marRight w:val="0"/>
      <w:marTop w:val="0"/>
      <w:marBottom w:val="0"/>
      <w:divBdr>
        <w:top w:val="none" w:sz="0" w:space="0" w:color="auto"/>
        <w:left w:val="none" w:sz="0" w:space="0" w:color="auto"/>
        <w:bottom w:val="none" w:sz="0" w:space="0" w:color="auto"/>
        <w:right w:val="none" w:sz="0" w:space="0" w:color="auto"/>
      </w:divBdr>
    </w:div>
    <w:div w:id="1144473146">
      <w:bodyDiv w:val="1"/>
      <w:marLeft w:val="0"/>
      <w:marRight w:val="0"/>
      <w:marTop w:val="0"/>
      <w:marBottom w:val="0"/>
      <w:divBdr>
        <w:top w:val="none" w:sz="0" w:space="0" w:color="auto"/>
        <w:left w:val="none" w:sz="0" w:space="0" w:color="auto"/>
        <w:bottom w:val="none" w:sz="0" w:space="0" w:color="auto"/>
        <w:right w:val="none" w:sz="0" w:space="0" w:color="auto"/>
      </w:divBdr>
    </w:div>
    <w:div w:id="1144737315">
      <w:bodyDiv w:val="1"/>
      <w:marLeft w:val="0"/>
      <w:marRight w:val="0"/>
      <w:marTop w:val="0"/>
      <w:marBottom w:val="0"/>
      <w:divBdr>
        <w:top w:val="none" w:sz="0" w:space="0" w:color="auto"/>
        <w:left w:val="none" w:sz="0" w:space="0" w:color="auto"/>
        <w:bottom w:val="none" w:sz="0" w:space="0" w:color="auto"/>
        <w:right w:val="none" w:sz="0" w:space="0" w:color="auto"/>
      </w:divBdr>
    </w:div>
    <w:div w:id="1149519398">
      <w:bodyDiv w:val="1"/>
      <w:marLeft w:val="0"/>
      <w:marRight w:val="0"/>
      <w:marTop w:val="0"/>
      <w:marBottom w:val="0"/>
      <w:divBdr>
        <w:top w:val="none" w:sz="0" w:space="0" w:color="auto"/>
        <w:left w:val="none" w:sz="0" w:space="0" w:color="auto"/>
        <w:bottom w:val="none" w:sz="0" w:space="0" w:color="auto"/>
        <w:right w:val="none" w:sz="0" w:space="0" w:color="auto"/>
      </w:divBdr>
    </w:div>
    <w:div w:id="1151365701">
      <w:bodyDiv w:val="1"/>
      <w:marLeft w:val="0"/>
      <w:marRight w:val="0"/>
      <w:marTop w:val="0"/>
      <w:marBottom w:val="0"/>
      <w:divBdr>
        <w:top w:val="none" w:sz="0" w:space="0" w:color="auto"/>
        <w:left w:val="none" w:sz="0" w:space="0" w:color="auto"/>
        <w:bottom w:val="none" w:sz="0" w:space="0" w:color="auto"/>
        <w:right w:val="none" w:sz="0" w:space="0" w:color="auto"/>
      </w:divBdr>
    </w:div>
    <w:div w:id="1154184032">
      <w:bodyDiv w:val="1"/>
      <w:marLeft w:val="0"/>
      <w:marRight w:val="0"/>
      <w:marTop w:val="0"/>
      <w:marBottom w:val="0"/>
      <w:divBdr>
        <w:top w:val="none" w:sz="0" w:space="0" w:color="auto"/>
        <w:left w:val="none" w:sz="0" w:space="0" w:color="auto"/>
        <w:bottom w:val="none" w:sz="0" w:space="0" w:color="auto"/>
        <w:right w:val="none" w:sz="0" w:space="0" w:color="auto"/>
      </w:divBdr>
    </w:div>
    <w:div w:id="1154371712">
      <w:bodyDiv w:val="1"/>
      <w:marLeft w:val="0"/>
      <w:marRight w:val="0"/>
      <w:marTop w:val="0"/>
      <w:marBottom w:val="0"/>
      <w:divBdr>
        <w:top w:val="none" w:sz="0" w:space="0" w:color="auto"/>
        <w:left w:val="none" w:sz="0" w:space="0" w:color="auto"/>
        <w:bottom w:val="none" w:sz="0" w:space="0" w:color="auto"/>
        <w:right w:val="none" w:sz="0" w:space="0" w:color="auto"/>
      </w:divBdr>
    </w:div>
    <w:div w:id="1154830922">
      <w:bodyDiv w:val="1"/>
      <w:marLeft w:val="0"/>
      <w:marRight w:val="0"/>
      <w:marTop w:val="0"/>
      <w:marBottom w:val="0"/>
      <w:divBdr>
        <w:top w:val="none" w:sz="0" w:space="0" w:color="auto"/>
        <w:left w:val="none" w:sz="0" w:space="0" w:color="auto"/>
        <w:bottom w:val="none" w:sz="0" w:space="0" w:color="auto"/>
        <w:right w:val="none" w:sz="0" w:space="0" w:color="auto"/>
      </w:divBdr>
    </w:div>
    <w:div w:id="1155147279">
      <w:bodyDiv w:val="1"/>
      <w:marLeft w:val="0"/>
      <w:marRight w:val="0"/>
      <w:marTop w:val="0"/>
      <w:marBottom w:val="0"/>
      <w:divBdr>
        <w:top w:val="none" w:sz="0" w:space="0" w:color="auto"/>
        <w:left w:val="none" w:sz="0" w:space="0" w:color="auto"/>
        <w:bottom w:val="none" w:sz="0" w:space="0" w:color="auto"/>
        <w:right w:val="none" w:sz="0" w:space="0" w:color="auto"/>
      </w:divBdr>
    </w:div>
    <w:div w:id="1157918985">
      <w:bodyDiv w:val="1"/>
      <w:marLeft w:val="0"/>
      <w:marRight w:val="0"/>
      <w:marTop w:val="0"/>
      <w:marBottom w:val="0"/>
      <w:divBdr>
        <w:top w:val="none" w:sz="0" w:space="0" w:color="auto"/>
        <w:left w:val="none" w:sz="0" w:space="0" w:color="auto"/>
        <w:bottom w:val="none" w:sz="0" w:space="0" w:color="auto"/>
        <w:right w:val="none" w:sz="0" w:space="0" w:color="auto"/>
      </w:divBdr>
    </w:div>
    <w:div w:id="1160998860">
      <w:bodyDiv w:val="1"/>
      <w:marLeft w:val="0"/>
      <w:marRight w:val="0"/>
      <w:marTop w:val="0"/>
      <w:marBottom w:val="0"/>
      <w:divBdr>
        <w:top w:val="none" w:sz="0" w:space="0" w:color="auto"/>
        <w:left w:val="none" w:sz="0" w:space="0" w:color="auto"/>
        <w:bottom w:val="none" w:sz="0" w:space="0" w:color="auto"/>
        <w:right w:val="none" w:sz="0" w:space="0" w:color="auto"/>
      </w:divBdr>
    </w:div>
    <w:div w:id="1161701596">
      <w:bodyDiv w:val="1"/>
      <w:marLeft w:val="0"/>
      <w:marRight w:val="0"/>
      <w:marTop w:val="0"/>
      <w:marBottom w:val="0"/>
      <w:divBdr>
        <w:top w:val="none" w:sz="0" w:space="0" w:color="auto"/>
        <w:left w:val="none" w:sz="0" w:space="0" w:color="auto"/>
        <w:bottom w:val="none" w:sz="0" w:space="0" w:color="auto"/>
        <w:right w:val="none" w:sz="0" w:space="0" w:color="auto"/>
      </w:divBdr>
    </w:div>
    <w:div w:id="1164978213">
      <w:bodyDiv w:val="1"/>
      <w:marLeft w:val="0"/>
      <w:marRight w:val="0"/>
      <w:marTop w:val="0"/>
      <w:marBottom w:val="0"/>
      <w:divBdr>
        <w:top w:val="none" w:sz="0" w:space="0" w:color="auto"/>
        <w:left w:val="none" w:sz="0" w:space="0" w:color="auto"/>
        <w:bottom w:val="none" w:sz="0" w:space="0" w:color="auto"/>
        <w:right w:val="none" w:sz="0" w:space="0" w:color="auto"/>
      </w:divBdr>
    </w:div>
    <w:div w:id="1174106467">
      <w:bodyDiv w:val="1"/>
      <w:marLeft w:val="0"/>
      <w:marRight w:val="0"/>
      <w:marTop w:val="0"/>
      <w:marBottom w:val="0"/>
      <w:divBdr>
        <w:top w:val="none" w:sz="0" w:space="0" w:color="auto"/>
        <w:left w:val="none" w:sz="0" w:space="0" w:color="auto"/>
        <w:bottom w:val="none" w:sz="0" w:space="0" w:color="auto"/>
        <w:right w:val="none" w:sz="0" w:space="0" w:color="auto"/>
      </w:divBdr>
    </w:div>
    <w:div w:id="1174761006">
      <w:bodyDiv w:val="1"/>
      <w:marLeft w:val="0"/>
      <w:marRight w:val="0"/>
      <w:marTop w:val="0"/>
      <w:marBottom w:val="0"/>
      <w:divBdr>
        <w:top w:val="none" w:sz="0" w:space="0" w:color="auto"/>
        <w:left w:val="none" w:sz="0" w:space="0" w:color="auto"/>
        <w:bottom w:val="none" w:sz="0" w:space="0" w:color="auto"/>
        <w:right w:val="none" w:sz="0" w:space="0" w:color="auto"/>
      </w:divBdr>
    </w:div>
    <w:div w:id="1175875987">
      <w:bodyDiv w:val="1"/>
      <w:marLeft w:val="0"/>
      <w:marRight w:val="0"/>
      <w:marTop w:val="0"/>
      <w:marBottom w:val="0"/>
      <w:divBdr>
        <w:top w:val="none" w:sz="0" w:space="0" w:color="auto"/>
        <w:left w:val="none" w:sz="0" w:space="0" w:color="auto"/>
        <w:bottom w:val="none" w:sz="0" w:space="0" w:color="auto"/>
        <w:right w:val="none" w:sz="0" w:space="0" w:color="auto"/>
      </w:divBdr>
    </w:div>
    <w:div w:id="1180975306">
      <w:bodyDiv w:val="1"/>
      <w:marLeft w:val="0"/>
      <w:marRight w:val="0"/>
      <w:marTop w:val="0"/>
      <w:marBottom w:val="0"/>
      <w:divBdr>
        <w:top w:val="none" w:sz="0" w:space="0" w:color="auto"/>
        <w:left w:val="none" w:sz="0" w:space="0" w:color="auto"/>
        <w:bottom w:val="none" w:sz="0" w:space="0" w:color="auto"/>
        <w:right w:val="none" w:sz="0" w:space="0" w:color="auto"/>
      </w:divBdr>
    </w:div>
    <w:div w:id="1183281399">
      <w:bodyDiv w:val="1"/>
      <w:marLeft w:val="0"/>
      <w:marRight w:val="0"/>
      <w:marTop w:val="0"/>
      <w:marBottom w:val="0"/>
      <w:divBdr>
        <w:top w:val="none" w:sz="0" w:space="0" w:color="auto"/>
        <w:left w:val="none" w:sz="0" w:space="0" w:color="auto"/>
        <w:bottom w:val="none" w:sz="0" w:space="0" w:color="auto"/>
        <w:right w:val="none" w:sz="0" w:space="0" w:color="auto"/>
      </w:divBdr>
    </w:div>
    <w:div w:id="1189950220">
      <w:bodyDiv w:val="1"/>
      <w:marLeft w:val="0"/>
      <w:marRight w:val="0"/>
      <w:marTop w:val="0"/>
      <w:marBottom w:val="0"/>
      <w:divBdr>
        <w:top w:val="none" w:sz="0" w:space="0" w:color="auto"/>
        <w:left w:val="none" w:sz="0" w:space="0" w:color="auto"/>
        <w:bottom w:val="none" w:sz="0" w:space="0" w:color="auto"/>
        <w:right w:val="none" w:sz="0" w:space="0" w:color="auto"/>
      </w:divBdr>
    </w:div>
    <w:div w:id="1190338844">
      <w:bodyDiv w:val="1"/>
      <w:marLeft w:val="0"/>
      <w:marRight w:val="0"/>
      <w:marTop w:val="0"/>
      <w:marBottom w:val="0"/>
      <w:divBdr>
        <w:top w:val="none" w:sz="0" w:space="0" w:color="auto"/>
        <w:left w:val="none" w:sz="0" w:space="0" w:color="auto"/>
        <w:bottom w:val="none" w:sz="0" w:space="0" w:color="auto"/>
        <w:right w:val="none" w:sz="0" w:space="0" w:color="auto"/>
      </w:divBdr>
    </w:div>
    <w:div w:id="1191796749">
      <w:bodyDiv w:val="1"/>
      <w:marLeft w:val="0"/>
      <w:marRight w:val="0"/>
      <w:marTop w:val="0"/>
      <w:marBottom w:val="0"/>
      <w:divBdr>
        <w:top w:val="none" w:sz="0" w:space="0" w:color="auto"/>
        <w:left w:val="none" w:sz="0" w:space="0" w:color="auto"/>
        <w:bottom w:val="none" w:sz="0" w:space="0" w:color="auto"/>
        <w:right w:val="none" w:sz="0" w:space="0" w:color="auto"/>
      </w:divBdr>
    </w:div>
    <w:div w:id="1192261948">
      <w:bodyDiv w:val="1"/>
      <w:marLeft w:val="0"/>
      <w:marRight w:val="0"/>
      <w:marTop w:val="0"/>
      <w:marBottom w:val="0"/>
      <w:divBdr>
        <w:top w:val="none" w:sz="0" w:space="0" w:color="auto"/>
        <w:left w:val="none" w:sz="0" w:space="0" w:color="auto"/>
        <w:bottom w:val="none" w:sz="0" w:space="0" w:color="auto"/>
        <w:right w:val="none" w:sz="0" w:space="0" w:color="auto"/>
      </w:divBdr>
    </w:div>
    <w:div w:id="1192576375">
      <w:bodyDiv w:val="1"/>
      <w:marLeft w:val="0"/>
      <w:marRight w:val="0"/>
      <w:marTop w:val="0"/>
      <w:marBottom w:val="0"/>
      <w:divBdr>
        <w:top w:val="none" w:sz="0" w:space="0" w:color="auto"/>
        <w:left w:val="none" w:sz="0" w:space="0" w:color="auto"/>
        <w:bottom w:val="none" w:sz="0" w:space="0" w:color="auto"/>
        <w:right w:val="none" w:sz="0" w:space="0" w:color="auto"/>
      </w:divBdr>
    </w:div>
    <w:div w:id="1193348586">
      <w:bodyDiv w:val="1"/>
      <w:marLeft w:val="0"/>
      <w:marRight w:val="0"/>
      <w:marTop w:val="0"/>
      <w:marBottom w:val="0"/>
      <w:divBdr>
        <w:top w:val="none" w:sz="0" w:space="0" w:color="auto"/>
        <w:left w:val="none" w:sz="0" w:space="0" w:color="auto"/>
        <w:bottom w:val="none" w:sz="0" w:space="0" w:color="auto"/>
        <w:right w:val="none" w:sz="0" w:space="0" w:color="auto"/>
      </w:divBdr>
    </w:div>
    <w:div w:id="1194542208">
      <w:bodyDiv w:val="1"/>
      <w:marLeft w:val="0"/>
      <w:marRight w:val="0"/>
      <w:marTop w:val="0"/>
      <w:marBottom w:val="0"/>
      <w:divBdr>
        <w:top w:val="none" w:sz="0" w:space="0" w:color="auto"/>
        <w:left w:val="none" w:sz="0" w:space="0" w:color="auto"/>
        <w:bottom w:val="none" w:sz="0" w:space="0" w:color="auto"/>
        <w:right w:val="none" w:sz="0" w:space="0" w:color="auto"/>
      </w:divBdr>
    </w:div>
    <w:div w:id="1197818253">
      <w:bodyDiv w:val="1"/>
      <w:marLeft w:val="0"/>
      <w:marRight w:val="0"/>
      <w:marTop w:val="0"/>
      <w:marBottom w:val="0"/>
      <w:divBdr>
        <w:top w:val="none" w:sz="0" w:space="0" w:color="auto"/>
        <w:left w:val="none" w:sz="0" w:space="0" w:color="auto"/>
        <w:bottom w:val="none" w:sz="0" w:space="0" w:color="auto"/>
        <w:right w:val="none" w:sz="0" w:space="0" w:color="auto"/>
      </w:divBdr>
    </w:div>
    <w:div w:id="1199203654">
      <w:bodyDiv w:val="1"/>
      <w:marLeft w:val="0"/>
      <w:marRight w:val="0"/>
      <w:marTop w:val="0"/>
      <w:marBottom w:val="0"/>
      <w:divBdr>
        <w:top w:val="none" w:sz="0" w:space="0" w:color="auto"/>
        <w:left w:val="none" w:sz="0" w:space="0" w:color="auto"/>
        <w:bottom w:val="none" w:sz="0" w:space="0" w:color="auto"/>
        <w:right w:val="none" w:sz="0" w:space="0" w:color="auto"/>
      </w:divBdr>
    </w:div>
    <w:div w:id="1200586233">
      <w:bodyDiv w:val="1"/>
      <w:marLeft w:val="0"/>
      <w:marRight w:val="0"/>
      <w:marTop w:val="0"/>
      <w:marBottom w:val="0"/>
      <w:divBdr>
        <w:top w:val="none" w:sz="0" w:space="0" w:color="auto"/>
        <w:left w:val="none" w:sz="0" w:space="0" w:color="auto"/>
        <w:bottom w:val="none" w:sz="0" w:space="0" w:color="auto"/>
        <w:right w:val="none" w:sz="0" w:space="0" w:color="auto"/>
      </w:divBdr>
    </w:div>
    <w:div w:id="1203664407">
      <w:bodyDiv w:val="1"/>
      <w:marLeft w:val="0"/>
      <w:marRight w:val="0"/>
      <w:marTop w:val="0"/>
      <w:marBottom w:val="0"/>
      <w:divBdr>
        <w:top w:val="none" w:sz="0" w:space="0" w:color="auto"/>
        <w:left w:val="none" w:sz="0" w:space="0" w:color="auto"/>
        <w:bottom w:val="none" w:sz="0" w:space="0" w:color="auto"/>
        <w:right w:val="none" w:sz="0" w:space="0" w:color="auto"/>
      </w:divBdr>
    </w:div>
    <w:div w:id="1206529268">
      <w:bodyDiv w:val="1"/>
      <w:marLeft w:val="0"/>
      <w:marRight w:val="0"/>
      <w:marTop w:val="0"/>
      <w:marBottom w:val="0"/>
      <w:divBdr>
        <w:top w:val="none" w:sz="0" w:space="0" w:color="auto"/>
        <w:left w:val="none" w:sz="0" w:space="0" w:color="auto"/>
        <w:bottom w:val="none" w:sz="0" w:space="0" w:color="auto"/>
        <w:right w:val="none" w:sz="0" w:space="0" w:color="auto"/>
      </w:divBdr>
    </w:div>
    <w:div w:id="1208180433">
      <w:bodyDiv w:val="1"/>
      <w:marLeft w:val="0"/>
      <w:marRight w:val="0"/>
      <w:marTop w:val="0"/>
      <w:marBottom w:val="0"/>
      <w:divBdr>
        <w:top w:val="none" w:sz="0" w:space="0" w:color="auto"/>
        <w:left w:val="none" w:sz="0" w:space="0" w:color="auto"/>
        <w:bottom w:val="none" w:sz="0" w:space="0" w:color="auto"/>
        <w:right w:val="none" w:sz="0" w:space="0" w:color="auto"/>
      </w:divBdr>
    </w:div>
    <w:div w:id="1209105890">
      <w:bodyDiv w:val="1"/>
      <w:marLeft w:val="0"/>
      <w:marRight w:val="0"/>
      <w:marTop w:val="0"/>
      <w:marBottom w:val="0"/>
      <w:divBdr>
        <w:top w:val="none" w:sz="0" w:space="0" w:color="auto"/>
        <w:left w:val="none" w:sz="0" w:space="0" w:color="auto"/>
        <w:bottom w:val="none" w:sz="0" w:space="0" w:color="auto"/>
        <w:right w:val="none" w:sz="0" w:space="0" w:color="auto"/>
      </w:divBdr>
    </w:div>
    <w:div w:id="1210536601">
      <w:bodyDiv w:val="1"/>
      <w:marLeft w:val="0"/>
      <w:marRight w:val="0"/>
      <w:marTop w:val="0"/>
      <w:marBottom w:val="0"/>
      <w:divBdr>
        <w:top w:val="none" w:sz="0" w:space="0" w:color="auto"/>
        <w:left w:val="none" w:sz="0" w:space="0" w:color="auto"/>
        <w:bottom w:val="none" w:sz="0" w:space="0" w:color="auto"/>
        <w:right w:val="none" w:sz="0" w:space="0" w:color="auto"/>
      </w:divBdr>
    </w:div>
    <w:div w:id="1212038767">
      <w:bodyDiv w:val="1"/>
      <w:marLeft w:val="0"/>
      <w:marRight w:val="0"/>
      <w:marTop w:val="0"/>
      <w:marBottom w:val="0"/>
      <w:divBdr>
        <w:top w:val="none" w:sz="0" w:space="0" w:color="auto"/>
        <w:left w:val="none" w:sz="0" w:space="0" w:color="auto"/>
        <w:bottom w:val="none" w:sz="0" w:space="0" w:color="auto"/>
        <w:right w:val="none" w:sz="0" w:space="0" w:color="auto"/>
      </w:divBdr>
    </w:div>
    <w:div w:id="1216044187">
      <w:bodyDiv w:val="1"/>
      <w:marLeft w:val="0"/>
      <w:marRight w:val="0"/>
      <w:marTop w:val="0"/>
      <w:marBottom w:val="0"/>
      <w:divBdr>
        <w:top w:val="none" w:sz="0" w:space="0" w:color="auto"/>
        <w:left w:val="none" w:sz="0" w:space="0" w:color="auto"/>
        <w:bottom w:val="none" w:sz="0" w:space="0" w:color="auto"/>
        <w:right w:val="none" w:sz="0" w:space="0" w:color="auto"/>
      </w:divBdr>
    </w:div>
    <w:div w:id="1218591870">
      <w:bodyDiv w:val="1"/>
      <w:marLeft w:val="0"/>
      <w:marRight w:val="0"/>
      <w:marTop w:val="0"/>
      <w:marBottom w:val="0"/>
      <w:divBdr>
        <w:top w:val="none" w:sz="0" w:space="0" w:color="auto"/>
        <w:left w:val="none" w:sz="0" w:space="0" w:color="auto"/>
        <w:bottom w:val="none" w:sz="0" w:space="0" w:color="auto"/>
        <w:right w:val="none" w:sz="0" w:space="0" w:color="auto"/>
      </w:divBdr>
    </w:div>
    <w:div w:id="1218858801">
      <w:bodyDiv w:val="1"/>
      <w:marLeft w:val="0"/>
      <w:marRight w:val="0"/>
      <w:marTop w:val="0"/>
      <w:marBottom w:val="0"/>
      <w:divBdr>
        <w:top w:val="none" w:sz="0" w:space="0" w:color="auto"/>
        <w:left w:val="none" w:sz="0" w:space="0" w:color="auto"/>
        <w:bottom w:val="none" w:sz="0" w:space="0" w:color="auto"/>
        <w:right w:val="none" w:sz="0" w:space="0" w:color="auto"/>
      </w:divBdr>
    </w:div>
    <w:div w:id="1219971825">
      <w:bodyDiv w:val="1"/>
      <w:marLeft w:val="0"/>
      <w:marRight w:val="0"/>
      <w:marTop w:val="0"/>
      <w:marBottom w:val="0"/>
      <w:divBdr>
        <w:top w:val="none" w:sz="0" w:space="0" w:color="auto"/>
        <w:left w:val="none" w:sz="0" w:space="0" w:color="auto"/>
        <w:bottom w:val="none" w:sz="0" w:space="0" w:color="auto"/>
        <w:right w:val="none" w:sz="0" w:space="0" w:color="auto"/>
      </w:divBdr>
    </w:div>
    <w:div w:id="1225339173">
      <w:bodyDiv w:val="1"/>
      <w:marLeft w:val="0"/>
      <w:marRight w:val="0"/>
      <w:marTop w:val="0"/>
      <w:marBottom w:val="0"/>
      <w:divBdr>
        <w:top w:val="none" w:sz="0" w:space="0" w:color="auto"/>
        <w:left w:val="none" w:sz="0" w:space="0" w:color="auto"/>
        <w:bottom w:val="none" w:sz="0" w:space="0" w:color="auto"/>
        <w:right w:val="none" w:sz="0" w:space="0" w:color="auto"/>
      </w:divBdr>
    </w:div>
    <w:div w:id="1228301948">
      <w:bodyDiv w:val="1"/>
      <w:marLeft w:val="0"/>
      <w:marRight w:val="0"/>
      <w:marTop w:val="0"/>
      <w:marBottom w:val="0"/>
      <w:divBdr>
        <w:top w:val="none" w:sz="0" w:space="0" w:color="auto"/>
        <w:left w:val="none" w:sz="0" w:space="0" w:color="auto"/>
        <w:bottom w:val="none" w:sz="0" w:space="0" w:color="auto"/>
        <w:right w:val="none" w:sz="0" w:space="0" w:color="auto"/>
      </w:divBdr>
    </w:div>
    <w:div w:id="1229537675">
      <w:bodyDiv w:val="1"/>
      <w:marLeft w:val="0"/>
      <w:marRight w:val="0"/>
      <w:marTop w:val="0"/>
      <w:marBottom w:val="0"/>
      <w:divBdr>
        <w:top w:val="none" w:sz="0" w:space="0" w:color="auto"/>
        <w:left w:val="none" w:sz="0" w:space="0" w:color="auto"/>
        <w:bottom w:val="none" w:sz="0" w:space="0" w:color="auto"/>
        <w:right w:val="none" w:sz="0" w:space="0" w:color="auto"/>
      </w:divBdr>
    </w:div>
    <w:div w:id="1235240162">
      <w:bodyDiv w:val="1"/>
      <w:marLeft w:val="0"/>
      <w:marRight w:val="0"/>
      <w:marTop w:val="0"/>
      <w:marBottom w:val="0"/>
      <w:divBdr>
        <w:top w:val="none" w:sz="0" w:space="0" w:color="auto"/>
        <w:left w:val="none" w:sz="0" w:space="0" w:color="auto"/>
        <w:bottom w:val="none" w:sz="0" w:space="0" w:color="auto"/>
        <w:right w:val="none" w:sz="0" w:space="0" w:color="auto"/>
      </w:divBdr>
    </w:div>
    <w:div w:id="1235354054">
      <w:bodyDiv w:val="1"/>
      <w:marLeft w:val="0"/>
      <w:marRight w:val="0"/>
      <w:marTop w:val="0"/>
      <w:marBottom w:val="0"/>
      <w:divBdr>
        <w:top w:val="none" w:sz="0" w:space="0" w:color="auto"/>
        <w:left w:val="none" w:sz="0" w:space="0" w:color="auto"/>
        <w:bottom w:val="none" w:sz="0" w:space="0" w:color="auto"/>
        <w:right w:val="none" w:sz="0" w:space="0" w:color="auto"/>
      </w:divBdr>
    </w:div>
    <w:div w:id="1242567716">
      <w:bodyDiv w:val="1"/>
      <w:marLeft w:val="0"/>
      <w:marRight w:val="0"/>
      <w:marTop w:val="0"/>
      <w:marBottom w:val="0"/>
      <w:divBdr>
        <w:top w:val="none" w:sz="0" w:space="0" w:color="auto"/>
        <w:left w:val="none" w:sz="0" w:space="0" w:color="auto"/>
        <w:bottom w:val="none" w:sz="0" w:space="0" w:color="auto"/>
        <w:right w:val="none" w:sz="0" w:space="0" w:color="auto"/>
      </w:divBdr>
    </w:div>
    <w:div w:id="1244295603">
      <w:bodyDiv w:val="1"/>
      <w:marLeft w:val="0"/>
      <w:marRight w:val="0"/>
      <w:marTop w:val="0"/>
      <w:marBottom w:val="0"/>
      <w:divBdr>
        <w:top w:val="none" w:sz="0" w:space="0" w:color="auto"/>
        <w:left w:val="none" w:sz="0" w:space="0" w:color="auto"/>
        <w:bottom w:val="none" w:sz="0" w:space="0" w:color="auto"/>
        <w:right w:val="none" w:sz="0" w:space="0" w:color="auto"/>
      </w:divBdr>
    </w:div>
    <w:div w:id="1253584505">
      <w:bodyDiv w:val="1"/>
      <w:marLeft w:val="0"/>
      <w:marRight w:val="0"/>
      <w:marTop w:val="0"/>
      <w:marBottom w:val="0"/>
      <w:divBdr>
        <w:top w:val="none" w:sz="0" w:space="0" w:color="auto"/>
        <w:left w:val="none" w:sz="0" w:space="0" w:color="auto"/>
        <w:bottom w:val="none" w:sz="0" w:space="0" w:color="auto"/>
        <w:right w:val="none" w:sz="0" w:space="0" w:color="auto"/>
      </w:divBdr>
    </w:div>
    <w:div w:id="1254699665">
      <w:bodyDiv w:val="1"/>
      <w:marLeft w:val="0"/>
      <w:marRight w:val="0"/>
      <w:marTop w:val="0"/>
      <w:marBottom w:val="0"/>
      <w:divBdr>
        <w:top w:val="none" w:sz="0" w:space="0" w:color="auto"/>
        <w:left w:val="none" w:sz="0" w:space="0" w:color="auto"/>
        <w:bottom w:val="none" w:sz="0" w:space="0" w:color="auto"/>
        <w:right w:val="none" w:sz="0" w:space="0" w:color="auto"/>
      </w:divBdr>
    </w:div>
    <w:div w:id="1254708950">
      <w:bodyDiv w:val="1"/>
      <w:marLeft w:val="0"/>
      <w:marRight w:val="0"/>
      <w:marTop w:val="0"/>
      <w:marBottom w:val="0"/>
      <w:divBdr>
        <w:top w:val="none" w:sz="0" w:space="0" w:color="auto"/>
        <w:left w:val="none" w:sz="0" w:space="0" w:color="auto"/>
        <w:bottom w:val="none" w:sz="0" w:space="0" w:color="auto"/>
        <w:right w:val="none" w:sz="0" w:space="0" w:color="auto"/>
      </w:divBdr>
    </w:div>
    <w:div w:id="1255549929">
      <w:bodyDiv w:val="1"/>
      <w:marLeft w:val="0"/>
      <w:marRight w:val="0"/>
      <w:marTop w:val="0"/>
      <w:marBottom w:val="0"/>
      <w:divBdr>
        <w:top w:val="none" w:sz="0" w:space="0" w:color="auto"/>
        <w:left w:val="none" w:sz="0" w:space="0" w:color="auto"/>
        <w:bottom w:val="none" w:sz="0" w:space="0" w:color="auto"/>
        <w:right w:val="none" w:sz="0" w:space="0" w:color="auto"/>
      </w:divBdr>
    </w:div>
    <w:div w:id="1256591705">
      <w:bodyDiv w:val="1"/>
      <w:marLeft w:val="0"/>
      <w:marRight w:val="0"/>
      <w:marTop w:val="0"/>
      <w:marBottom w:val="0"/>
      <w:divBdr>
        <w:top w:val="none" w:sz="0" w:space="0" w:color="auto"/>
        <w:left w:val="none" w:sz="0" w:space="0" w:color="auto"/>
        <w:bottom w:val="none" w:sz="0" w:space="0" w:color="auto"/>
        <w:right w:val="none" w:sz="0" w:space="0" w:color="auto"/>
      </w:divBdr>
    </w:div>
    <w:div w:id="1259219549">
      <w:bodyDiv w:val="1"/>
      <w:marLeft w:val="0"/>
      <w:marRight w:val="0"/>
      <w:marTop w:val="0"/>
      <w:marBottom w:val="0"/>
      <w:divBdr>
        <w:top w:val="none" w:sz="0" w:space="0" w:color="auto"/>
        <w:left w:val="none" w:sz="0" w:space="0" w:color="auto"/>
        <w:bottom w:val="none" w:sz="0" w:space="0" w:color="auto"/>
        <w:right w:val="none" w:sz="0" w:space="0" w:color="auto"/>
      </w:divBdr>
    </w:div>
    <w:div w:id="1259368288">
      <w:bodyDiv w:val="1"/>
      <w:marLeft w:val="0"/>
      <w:marRight w:val="0"/>
      <w:marTop w:val="0"/>
      <w:marBottom w:val="0"/>
      <w:divBdr>
        <w:top w:val="none" w:sz="0" w:space="0" w:color="auto"/>
        <w:left w:val="none" w:sz="0" w:space="0" w:color="auto"/>
        <w:bottom w:val="none" w:sz="0" w:space="0" w:color="auto"/>
        <w:right w:val="none" w:sz="0" w:space="0" w:color="auto"/>
      </w:divBdr>
    </w:div>
    <w:div w:id="1263606565">
      <w:bodyDiv w:val="1"/>
      <w:marLeft w:val="0"/>
      <w:marRight w:val="0"/>
      <w:marTop w:val="0"/>
      <w:marBottom w:val="0"/>
      <w:divBdr>
        <w:top w:val="none" w:sz="0" w:space="0" w:color="auto"/>
        <w:left w:val="none" w:sz="0" w:space="0" w:color="auto"/>
        <w:bottom w:val="none" w:sz="0" w:space="0" w:color="auto"/>
        <w:right w:val="none" w:sz="0" w:space="0" w:color="auto"/>
      </w:divBdr>
    </w:div>
    <w:div w:id="1264191169">
      <w:bodyDiv w:val="1"/>
      <w:marLeft w:val="0"/>
      <w:marRight w:val="0"/>
      <w:marTop w:val="0"/>
      <w:marBottom w:val="0"/>
      <w:divBdr>
        <w:top w:val="none" w:sz="0" w:space="0" w:color="auto"/>
        <w:left w:val="none" w:sz="0" w:space="0" w:color="auto"/>
        <w:bottom w:val="none" w:sz="0" w:space="0" w:color="auto"/>
        <w:right w:val="none" w:sz="0" w:space="0" w:color="auto"/>
      </w:divBdr>
    </w:div>
    <w:div w:id="1265190809">
      <w:bodyDiv w:val="1"/>
      <w:marLeft w:val="0"/>
      <w:marRight w:val="0"/>
      <w:marTop w:val="0"/>
      <w:marBottom w:val="0"/>
      <w:divBdr>
        <w:top w:val="none" w:sz="0" w:space="0" w:color="auto"/>
        <w:left w:val="none" w:sz="0" w:space="0" w:color="auto"/>
        <w:bottom w:val="none" w:sz="0" w:space="0" w:color="auto"/>
        <w:right w:val="none" w:sz="0" w:space="0" w:color="auto"/>
      </w:divBdr>
    </w:div>
    <w:div w:id="1266230520">
      <w:bodyDiv w:val="1"/>
      <w:marLeft w:val="0"/>
      <w:marRight w:val="0"/>
      <w:marTop w:val="0"/>
      <w:marBottom w:val="0"/>
      <w:divBdr>
        <w:top w:val="none" w:sz="0" w:space="0" w:color="auto"/>
        <w:left w:val="none" w:sz="0" w:space="0" w:color="auto"/>
        <w:bottom w:val="none" w:sz="0" w:space="0" w:color="auto"/>
        <w:right w:val="none" w:sz="0" w:space="0" w:color="auto"/>
      </w:divBdr>
    </w:div>
    <w:div w:id="1266307834">
      <w:bodyDiv w:val="1"/>
      <w:marLeft w:val="0"/>
      <w:marRight w:val="0"/>
      <w:marTop w:val="0"/>
      <w:marBottom w:val="0"/>
      <w:divBdr>
        <w:top w:val="none" w:sz="0" w:space="0" w:color="auto"/>
        <w:left w:val="none" w:sz="0" w:space="0" w:color="auto"/>
        <w:bottom w:val="none" w:sz="0" w:space="0" w:color="auto"/>
        <w:right w:val="none" w:sz="0" w:space="0" w:color="auto"/>
      </w:divBdr>
    </w:div>
    <w:div w:id="1268197710">
      <w:bodyDiv w:val="1"/>
      <w:marLeft w:val="0"/>
      <w:marRight w:val="0"/>
      <w:marTop w:val="0"/>
      <w:marBottom w:val="0"/>
      <w:divBdr>
        <w:top w:val="none" w:sz="0" w:space="0" w:color="auto"/>
        <w:left w:val="none" w:sz="0" w:space="0" w:color="auto"/>
        <w:bottom w:val="none" w:sz="0" w:space="0" w:color="auto"/>
        <w:right w:val="none" w:sz="0" w:space="0" w:color="auto"/>
      </w:divBdr>
    </w:div>
    <w:div w:id="1268349429">
      <w:bodyDiv w:val="1"/>
      <w:marLeft w:val="0"/>
      <w:marRight w:val="0"/>
      <w:marTop w:val="0"/>
      <w:marBottom w:val="0"/>
      <w:divBdr>
        <w:top w:val="none" w:sz="0" w:space="0" w:color="auto"/>
        <w:left w:val="none" w:sz="0" w:space="0" w:color="auto"/>
        <w:bottom w:val="none" w:sz="0" w:space="0" w:color="auto"/>
        <w:right w:val="none" w:sz="0" w:space="0" w:color="auto"/>
      </w:divBdr>
    </w:div>
    <w:div w:id="1271158765">
      <w:bodyDiv w:val="1"/>
      <w:marLeft w:val="0"/>
      <w:marRight w:val="0"/>
      <w:marTop w:val="0"/>
      <w:marBottom w:val="0"/>
      <w:divBdr>
        <w:top w:val="none" w:sz="0" w:space="0" w:color="auto"/>
        <w:left w:val="none" w:sz="0" w:space="0" w:color="auto"/>
        <w:bottom w:val="none" w:sz="0" w:space="0" w:color="auto"/>
        <w:right w:val="none" w:sz="0" w:space="0" w:color="auto"/>
      </w:divBdr>
    </w:div>
    <w:div w:id="1271549286">
      <w:bodyDiv w:val="1"/>
      <w:marLeft w:val="0"/>
      <w:marRight w:val="0"/>
      <w:marTop w:val="0"/>
      <w:marBottom w:val="0"/>
      <w:divBdr>
        <w:top w:val="none" w:sz="0" w:space="0" w:color="auto"/>
        <w:left w:val="none" w:sz="0" w:space="0" w:color="auto"/>
        <w:bottom w:val="none" w:sz="0" w:space="0" w:color="auto"/>
        <w:right w:val="none" w:sz="0" w:space="0" w:color="auto"/>
      </w:divBdr>
    </w:div>
    <w:div w:id="1277953996">
      <w:bodyDiv w:val="1"/>
      <w:marLeft w:val="0"/>
      <w:marRight w:val="0"/>
      <w:marTop w:val="0"/>
      <w:marBottom w:val="0"/>
      <w:divBdr>
        <w:top w:val="none" w:sz="0" w:space="0" w:color="auto"/>
        <w:left w:val="none" w:sz="0" w:space="0" w:color="auto"/>
        <w:bottom w:val="none" w:sz="0" w:space="0" w:color="auto"/>
        <w:right w:val="none" w:sz="0" w:space="0" w:color="auto"/>
      </w:divBdr>
    </w:div>
    <w:div w:id="1281452949">
      <w:bodyDiv w:val="1"/>
      <w:marLeft w:val="0"/>
      <w:marRight w:val="0"/>
      <w:marTop w:val="0"/>
      <w:marBottom w:val="0"/>
      <w:divBdr>
        <w:top w:val="none" w:sz="0" w:space="0" w:color="auto"/>
        <w:left w:val="none" w:sz="0" w:space="0" w:color="auto"/>
        <w:bottom w:val="none" w:sz="0" w:space="0" w:color="auto"/>
        <w:right w:val="none" w:sz="0" w:space="0" w:color="auto"/>
      </w:divBdr>
    </w:div>
    <w:div w:id="1281457111">
      <w:bodyDiv w:val="1"/>
      <w:marLeft w:val="0"/>
      <w:marRight w:val="0"/>
      <w:marTop w:val="0"/>
      <w:marBottom w:val="0"/>
      <w:divBdr>
        <w:top w:val="none" w:sz="0" w:space="0" w:color="auto"/>
        <w:left w:val="none" w:sz="0" w:space="0" w:color="auto"/>
        <w:bottom w:val="none" w:sz="0" w:space="0" w:color="auto"/>
        <w:right w:val="none" w:sz="0" w:space="0" w:color="auto"/>
      </w:divBdr>
    </w:div>
    <w:div w:id="1281915358">
      <w:bodyDiv w:val="1"/>
      <w:marLeft w:val="0"/>
      <w:marRight w:val="0"/>
      <w:marTop w:val="0"/>
      <w:marBottom w:val="0"/>
      <w:divBdr>
        <w:top w:val="none" w:sz="0" w:space="0" w:color="auto"/>
        <w:left w:val="none" w:sz="0" w:space="0" w:color="auto"/>
        <w:bottom w:val="none" w:sz="0" w:space="0" w:color="auto"/>
        <w:right w:val="none" w:sz="0" w:space="0" w:color="auto"/>
      </w:divBdr>
    </w:div>
    <w:div w:id="1282685273">
      <w:bodyDiv w:val="1"/>
      <w:marLeft w:val="0"/>
      <w:marRight w:val="0"/>
      <w:marTop w:val="0"/>
      <w:marBottom w:val="0"/>
      <w:divBdr>
        <w:top w:val="none" w:sz="0" w:space="0" w:color="auto"/>
        <w:left w:val="none" w:sz="0" w:space="0" w:color="auto"/>
        <w:bottom w:val="none" w:sz="0" w:space="0" w:color="auto"/>
        <w:right w:val="none" w:sz="0" w:space="0" w:color="auto"/>
      </w:divBdr>
    </w:div>
    <w:div w:id="1286304778">
      <w:bodyDiv w:val="1"/>
      <w:marLeft w:val="0"/>
      <w:marRight w:val="0"/>
      <w:marTop w:val="0"/>
      <w:marBottom w:val="0"/>
      <w:divBdr>
        <w:top w:val="none" w:sz="0" w:space="0" w:color="auto"/>
        <w:left w:val="none" w:sz="0" w:space="0" w:color="auto"/>
        <w:bottom w:val="none" w:sz="0" w:space="0" w:color="auto"/>
        <w:right w:val="none" w:sz="0" w:space="0" w:color="auto"/>
      </w:divBdr>
    </w:div>
    <w:div w:id="1287542727">
      <w:bodyDiv w:val="1"/>
      <w:marLeft w:val="0"/>
      <w:marRight w:val="0"/>
      <w:marTop w:val="0"/>
      <w:marBottom w:val="0"/>
      <w:divBdr>
        <w:top w:val="none" w:sz="0" w:space="0" w:color="auto"/>
        <w:left w:val="none" w:sz="0" w:space="0" w:color="auto"/>
        <w:bottom w:val="none" w:sz="0" w:space="0" w:color="auto"/>
        <w:right w:val="none" w:sz="0" w:space="0" w:color="auto"/>
      </w:divBdr>
    </w:div>
    <w:div w:id="1289513865">
      <w:bodyDiv w:val="1"/>
      <w:marLeft w:val="0"/>
      <w:marRight w:val="0"/>
      <w:marTop w:val="0"/>
      <w:marBottom w:val="0"/>
      <w:divBdr>
        <w:top w:val="none" w:sz="0" w:space="0" w:color="auto"/>
        <w:left w:val="none" w:sz="0" w:space="0" w:color="auto"/>
        <w:bottom w:val="none" w:sz="0" w:space="0" w:color="auto"/>
        <w:right w:val="none" w:sz="0" w:space="0" w:color="auto"/>
      </w:divBdr>
    </w:div>
    <w:div w:id="1291590246">
      <w:bodyDiv w:val="1"/>
      <w:marLeft w:val="0"/>
      <w:marRight w:val="0"/>
      <w:marTop w:val="0"/>
      <w:marBottom w:val="0"/>
      <w:divBdr>
        <w:top w:val="none" w:sz="0" w:space="0" w:color="auto"/>
        <w:left w:val="none" w:sz="0" w:space="0" w:color="auto"/>
        <w:bottom w:val="none" w:sz="0" w:space="0" w:color="auto"/>
        <w:right w:val="none" w:sz="0" w:space="0" w:color="auto"/>
      </w:divBdr>
    </w:div>
    <w:div w:id="1291790835">
      <w:bodyDiv w:val="1"/>
      <w:marLeft w:val="0"/>
      <w:marRight w:val="0"/>
      <w:marTop w:val="0"/>
      <w:marBottom w:val="0"/>
      <w:divBdr>
        <w:top w:val="none" w:sz="0" w:space="0" w:color="auto"/>
        <w:left w:val="none" w:sz="0" w:space="0" w:color="auto"/>
        <w:bottom w:val="none" w:sz="0" w:space="0" w:color="auto"/>
        <w:right w:val="none" w:sz="0" w:space="0" w:color="auto"/>
      </w:divBdr>
    </w:div>
    <w:div w:id="1293947729">
      <w:bodyDiv w:val="1"/>
      <w:marLeft w:val="0"/>
      <w:marRight w:val="0"/>
      <w:marTop w:val="0"/>
      <w:marBottom w:val="0"/>
      <w:divBdr>
        <w:top w:val="none" w:sz="0" w:space="0" w:color="auto"/>
        <w:left w:val="none" w:sz="0" w:space="0" w:color="auto"/>
        <w:bottom w:val="none" w:sz="0" w:space="0" w:color="auto"/>
        <w:right w:val="none" w:sz="0" w:space="0" w:color="auto"/>
      </w:divBdr>
    </w:div>
    <w:div w:id="1294411742">
      <w:bodyDiv w:val="1"/>
      <w:marLeft w:val="0"/>
      <w:marRight w:val="0"/>
      <w:marTop w:val="0"/>
      <w:marBottom w:val="0"/>
      <w:divBdr>
        <w:top w:val="none" w:sz="0" w:space="0" w:color="auto"/>
        <w:left w:val="none" w:sz="0" w:space="0" w:color="auto"/>
        <w:bottom w:val="none" w:sz="0" w:space="0" w:color="auto"/>
        <w:right w:val="none" w:sz="0" w:space="0" w:color="auto"/>
      </w:divBdr>
    </w:div>
    <w:div w:id="1294798612">
      <w:bodyDiv w:val="1"/>
      <w:marLeft w:val="0"/>
      <w:marRight w:val="0"/>
      <w:marTop w:val="0"/>
      <w:marBottom w:val="0"/>
      <w:divBdr>
        <w:top w:val="none" w:sz="0" w:space="0" w:color="auto"/>
        <w:left w:val="none" w:sz="0" w:space="0" w:color="auto"/>
        <w:bottom w:val="none" w:sz="0" w:space="0" w:color="auto"/>
        <w:right w:val="none" w:sz="0" w:space="0" w:color="auto"/>
      </w:divBdr>
    </w:div>
    <w:div w:id="1299799547">
      <w:bodyDiv w:val="1"/>
      <w:marLeft w:val="0"/>
      <w:marRight w:val="0"/>
      <w:marTop w:val="0"/>
      <w:marBottom w:val="0"/>
      <w:divBdr>
        <w:top w:val="none" w:sz="0" w:space="0" w:color="auto"/>
        <w:left w:val="none" w:sz="0" w:space="0" w:color="auto"/>
        <w:bottom w:val="none" w:sz="0" w:space="0" w:color="auto"/>
        <w:right w:val="none" w:sz="0" w:space="0" w:color="auto"/>
      </w:divBdr>
    </w:div>
    <w:div w:id="1301181453">
      <w:bodyDiv w:val="1"/>
      <w:marLeft w:val="0"/>
      <w:marRight w:val="0"/>
      <w:marTop w:val="0"/>
      <w:marBottom w:val="0"/>
      <w:divBdr>
        <w:top w:val="none" w:sz="0" w:space="0" w:color="auto"/>
        <w:left w:val="none" w:sz="0" w:space="0" w:color="auto"/>
        <w:bottom w:val="none" w:sz="0" w:space="0" w:color="auto"/>
        <w:right w:val="none" w:sz="0" w:space="0" w:color="auto"/>
      </w:divBdr>
    </w:div>
    <w:div w:id="1301375597">
      <w:bodyDiv w:val="1"/>
      <w:marLeft w:val="0"/>
      <w:marRight w:val="0"/>
      <w:marTop w:val="0"/>
      <w:marBottom w:val="0"/>
      <w:divBdr>
        <w:top w:val="none" w:sz="0" w:space="0" w:color="auto"/>
        <w:left w:val="none" w:sz="0" w:space="0" w:color="auto"/>
        <w:bottom w:val="none" w:sz="0" w:space="0" w:color="auto"/>
        <w:right w:val="none" w:sz="0" w:space="0" w:color="auto"/>
      </w:divBdr>
    </w:div>
    <w:div w:id="1302731378">
      <w:bodyDiv w:val="1"/>
      <w:marLeft w:val="0"/>
      <w:marRight w:val="0"/>
      <w:marTop w:val="0"/>
      <w:marBottom w:val="0"/>
      <w:divBdr>
        <w:top w:val="none" w:sz="0" w:space="0" w:color="auto"/>
        <w:left w:val="none" w:sz="0" w:space="0" w:color="auto"/>
        <w:bottom w:val="none" w:sz="0" w:space="0" w:color="auto"/>
        <w:right w:val="none" w:sz="0" w:space="0" w:color="auto"/>
      </w:divBdr>
    </w:div>
    <w:div w:id="1303080374">
      <w:bodyDiv w:val="1"/>
      <w:marLeft w:val="0"/>
      <w:marRight w:val="0"/>
      <w:marTop w:val="0"/>
      <w:marBottom w:val="0"/>
      <w:divBdr>
        <w:top w:val="none" w:sz="0" w:space="0" w:color="auto"/>
        <w:left w:val="none" w:sz="0" w:space="0" w:color="auto"/>
        <w:bottom w:val="none" w:sz="0" w:space="0" w:color="auto"/>
        <w:right w:val="none" w:sz="0" w:space="0" w:color="auto"/>
      </w:divBdr>
    </w:div>
    <w:div w:id="1304506900">
      <w:bodyDiv w:val="1"/>
      <w:marLeft w:val="0"/>
      <w:marRight w:val="0"/>
      <w:marTop w:val="0"/>
      <w:marBottom w:val="0"/>
      <w:divBdr>
        <w:top w:val="none" w:sz="0" w:space="0" w:color="auto"/>
        <w:left w:val="none" w:sz="0" w:space="0" w:color="auto"/>
        <w:bottom w:val="none" w:sz="0" w:space="0" w:color="auto"/>
        <w:right w:val="none" w:sz="0" w:space="0" w:color="auto"/>
      </w:divBdr>
    </w:div>
    <w:div w:id="1307473358">
      <w:bodyDiv w:val="1"/>
      <w:marLeft w:val="0"/>
      <w:marRight w:val="0"/>
      <w:marTop w:val="0"/>
      <w:marBottom w:val="0"/>
      <w:divBdr>
        <w:top w:val="none" w:sz="0" w:space="0" w:color="auto"/>
        <w:left w:val="none" w:sz="0" w:space="0" w:color="auto"/>
        <w:bottom w:val="none" w:sz="0" w:space="0" w:color="auto"/>
        <w:right w:val="none" w:sz="0" w:space="0" w:color="auto"/>
      </w:divBdr>
    </w:div>
    <w:div w:id="1310863402">
      <w:bodyDiv w:val="1"/>
      <w:marLeft w:val="0"/>
      <w:marRight w:val="0"/>
      <w:marTop w:val="0"/>
      <w:marBottom w:val="0"/>
      <w:divBdr>
        <w:top w:val="none" w:sz="0" w:space="0" w:color="auto"/>
        <w:left w:val="none" w:sz="0" w:space="0" w:color="auto"/>
        <w:bottom w:val="none" w:sz="0" w:space="0" w:color="auto"/>
        <w:right w:val="none" w:sz="0" w:space="0" w:color="auto"/>
      </w:divBdr>
    </w:div>
    <w:div w:id="1314330780">
      <w:bodyDiv w:val="1"/>
      <w:marLeft w:val="0"/>
      <w:marRight w:val="0"/>
      <w:marTop w:val="0"/>
      <w:marBottom w:val="0"/>
      <w:divBdr>
        <w:top w:val="none" w:sz="0" w:space="0" w:color="auto"/>
        <w:left w:val="none" w:sz="0" w:space="0" w:color="auto"/>
        <w:bottom w:val="none" w:sz="0" w:space="0" w:color="auto"/>
        <w:right w:val="none" w:sz="0" w:space="0" w:color="auto"/>
      </w:divBdr>
    </w:div>
    <w:div w:id="1317606383">
      <w:bodyDiv w:val="1"/>
      <w:marLeft w:val="0"/>
      <w:marRight w:val="0"/>
      <w:marTop w:val="0"/>
      <w:marBottom w:val="0"/>
      <w:divBdr>
        <w:top w:val="none" w:sz="0" w:space="0" w:color="auto"/>
        <w:left w:val="none" w:sz="0" w:space="0" w:color="auto"/>
        <w:bottom w:val="none" w:sz="0" w:space="0" w:color="auto"/>
        <w:right w:val="none" w:sz="0" w:space="0" w:color="auto"/>
      </w:divBdr>
    </w:div>
    <w:div w:id="1322390501">
      <w:bodyDiv w:val="1"/>
      <w:marLeft w:val="0"/>
      <w:marRight w:val="0"/>
      <w:marTop w:val="0"/>
      <w:marBottom w:val="0"/>
      <w:divBdr>
        <w:top w:val="none" w:sz="0" w:space="0" w:color="auto"/>
        <w:left w:val="none" w:sz="0" w:space="0" w:color="auto"/>
        <w:bottom w:val="none" w:sz="0" w:space="0" w:color="auto"/>
        <w:right w:val="none" w:sz="0" w:space="0" w:color="auto"/>
      </w:divBdr>
    </w:div>
    <w:div w:id="1322661186">
      <w:bodyDiv w:val="1"/>
      <w:marLeft w:val="0"/>
      <w:marRight w:val="0"/>
      <w:marTop w:val="0"/>
      <w:marBottom w:val="0"/>
      <w:divBdr>
        <w:top w:val="none" w:sz="0" w:space="0" w:color="auto"/>
        <w:left w:val="none" w:sz="0" w:space="0" w:color="auto"/>
        <w:bottom w:val="none" w:sz="0" w:space="0" w:color="auto"/>
        <w:right w:val="none" w:sz="0" w:space="0" w:color="auto"/>
      </w:divBdr>
    </w:div>
    <w:div w:id="1322853689">
      <w:bodyDiv w:val="1"/>
      <w:marLeft w:val="0"/>
      <w:marRight w:val="0"/>
      <w:marTop w:val="0"/>
      <w:marBottom w:val="0"/>
      <w:divBdr>
        <w:top w:val="none" w:sz="0" w:space="0" w:color="auto"/>
        <w:left w:val="none" w:sz="0" w:space="0" w:color="auto"/>
        <w:bottom w:val="none" w:sz="0" w:space="0" w:color="auto"/>
        <w:right w:val="none" w:sz="0" w:space="0" w:color="auto"/>
      </w:divBdr>
    </w:div>
    <w:div w:id="1324162352">
      <w:bodyDiv w:val="1"/>
      <w:marLeft w:val="0"/>
      <w:marRight w:val="0"/>
      <w:marTop w:val="0"/>
      <w:marBottom w:val="0"/>
      <w:divBdr>
        <w:top w:val="none" w:sz="0" w:space="0" w:color="auto"/>
        <w:left w:val="none" w:sz="0" w:space="0" w:color="auto"/>
        <w:bottom w:val="none" w:sz="0" w:space="0" w:color="auto"/>
        <w:right w:val="none" w:sz="0" w:space="0" w:color="auto"/>
      </w:divBdr>
    </w:div>
    <w:div w:id="1325550792">
      <w:bodyDiv w:val="1"/>
      <w:marLeft w:val="0"/>
      <w:marRight w:val="0"/>
      <w:marTop w:val="0"/>
      <w:marBottom w:val="0"/>
      <w:divBdr>
        <w:top w:val="none" w:sz="0" w:space="0" w:color="auto"/>
        <w:left w:val="none" w:sz="0" w:space="0" w:color="auto"/>
        <w:bottom w:val="none" w:sz="0" w:space="0" w:color="auto"/>
        <w:right w:val="none" w:sz="0" w:space="0" w:color="auto"/>
      </w:divBdr>
    </w:div>
    <w:div w:id="1328052673">
      <w:bodyDiv w:val="1"/>
      <w:marLeft w:val="0"/>
      <w:marRight w:val="0"/>
      <w:marTop w:val="0"/>
      <w:marBottom w:val="0"/>
      <w:divBdr>
        <w:top w:val="none" w:sz="0" w:space="0" w:color="auto"/>
        <w:left w:val="none" w:sz="0" w:space="0" w:color="auto"/>
        <w:bottom w:val="none" w:sz="0" w:space="0" w:color="auto"/>
        <w:right w:val="none" w:sz="0" w:space="0" w:color="auto"/>
      </w:divBdr>
    </w:div>
    <w:div w:id="1333993240">
      <w:bodyDiv w:val="1"/>
      <w:marLeft w:val="0"/>
      <w:marRight w:val="0"/>
      <w:marTop w:val="0"/>
      <w:marBottom w:val="0"/>
      <w:divBdr>
        <w:top w:val="none" w:sz="0" w:space="0" w:color="auto"/>
        <w:left w:val="none" w:sz="0" w:space="0" w:color="auto"/>
        <w:bottom w:val="none" w:sz="0" w:space="0" w:color="auto"/>
        <w:right w:val="none" w:sz="0" w:space="0" w:color="auto"/>
      </w:divBdr>
    </w:div>
    <w:div w:id="1336958633">
      <w:bodyDiv w:val="1"/>
      <w:marLeft w:val="0"/>
      <w:marRight w:val="0"/>
      <w:marTop w:val="0"/>
      <w:marBottom w:val="0"/>
      <w:divBdr>
        <w:top w:val="none" w:sz="0" w:space="0" w:color="auto"/>
        <w:left w:val="none" w:sz="0" w:space="0" w:color="auto"/>
        <w:bottom w:val="none" w:sz="0" w:space="0" w:color="auto"/>
        <w:right w:val="none" w:sz="0" w:space="0" w:color="auto"/>
      </w:divBdr>
    </w:div>
    <w:div w:id="1338771974">
      <w:bodyDiv w:val="1"/>
      <w:marLeft w:val="0"/>
      <w:marRight w:val="0"/>
      <w:marTop w:val="0"/>
      <w:marBottom w:val="0"/>
      <w:divBdr>
        <w:top w:val="none" w:sz="0" w:space="0" w:color="auto"/>
        <w:left w:val="none" w:sz="0" w:space="0" w:color="auto"/>
        <w:bottom w:val="none" w:sz="0" w:space="0" w:color="auto"/>
        <w:right w:val="none" w:sz="0" w:space="0" w:color="auto"/>
      </w:divBdr>
    </w:div>
    <w:div w:id="1340307003">
      <w:bodyDiv w:val="1"/>
      <w:marLeft w:val="0"/>
      <w:marRight w:val="0"/>
      <w:marTop w:val="0"/>
      <w:marBottom w:val="0"/>
      <w:divBdr>
        <w:top w:val="none" w:sz="0" w:space="0" w:color="auto"/>
        <w:left w:val="none" w:sz="0" w:space="0" w:color="auto"/>
        <w:bottom w:val="none" w:sz="0" w:space="0" w:color="auto"/>
        <w:right w:val="none" w:sz="0" w:space="0" w:color="auto"/>
      </w:divBdr>
    </w:div>
    <w:div w:id="1340547897">
      <w:bodyDiv w:val="1"/>
      <w:marLeft w:val="0"/>
      <w:marRight w:val="0"/>
      <w:marTop w:val="0"/>
      <w:marBottom w:val="0"/>
      <w:divBdr>
        <w:top w:val="none" w:sz="0" w:space="0" w:color="auto"/>
        <w:left w:val="none" w:sz="0" w:space="0" w:color="auto"/>
        <w:bottom w:val="none" w:sz="0" w:space="0" w:color="auto"/>
        <w:right w:val="none" w:sz="0" w:space="0" w:color="auto"/>
      </w:divBdr>
    </w:div>
    <w:div w:id="1342396630">
      <w:bodyDiv w:val="1"/>
      <w:marLeft w:val="0"/>
      <w:marRight w:val="0"/>
      <w:marTop w:val="0"/>
      <w:marBottom w:val="0"/>
      <w:divBdr>
        <w:top w:val="none" w:sz="0" w:space="0" w:color="auto"/>
        <w:left w:val="none" w:sz="0" w:space="0" w:color="auto"/>
        <w:bottom w:val="none" w:sz="0" w:space="0" w:color="auto"/>
        <w:right w:val="none" w:sz="0" w:space="0" w:color="auto"/>
      </w:divBdr>
    </w:div>
    <w:div w:id="1344548558">
      <w:bodyDiv w:val="1"/>
      <w:marLeft w:val="0"/>
      <w:marRight w:val="0"/>
      <w:marTop w:val="0"/>
      <w:marBottom w:val="0"/>
      <w:divBdr>
        <w:top w:val="none" w:sz="0" w:space="0" w:color="auto"/>
        <w:left w:val="none" w:sz="0" w:space="0" w:color="auto"/>
        <w:bottom w:val="none" w:sz="0" w:space="0" w:color="auto"/>
        <w:right w:val="none" w:sz="0" w:space="0" w:color="auto"/>
      </w:divBdr>
    </w:div>
    <w:div w:id="1350839698">
      <w:bodyDiv w:val="1"/>
      <w:marLeft w:val="0"/>
      <w:marRight w:val="0"/>
      <w:marTop w:val="0"/>
      <w:marBottom w:val="0"/>
      <w:divBdr>
        <w:top w:val="none" w:sz="0" w:space="0" w:color="auto"/>
        <w:left w:val="none" w:sz="0" w:space="0" w:color="auto"/>
        <w:bottom w:val="none" w:sz="0" w:space="0" w:color="auto"/>
        <w:right w:val="none" w:sz="0" w:space="0" w:color="auto"/>
      </w:divBdr>
    </w:div>
    <w:div w:id="1351375906">
      <w:bodyDiv w:val="1"/>
      <w:marLeft w:val="0"/>
      <w:marRight w:val="0"/>
      <w:marTop w:val="0"/>
      <w:marBottom w:val="0"/>
      <w:divBdr>
        <w:top w:val="none" w:sz="0" w:space="0" w:color="auto"/>
        <w:left w:val="none" w:sz="0" w:space="0" w:color="auto"/>
        <w:bottom w:val="none" w:sz="0" w:space="0" w:color="auto"/>
        <w:right w:val="none" w:sz="0" w:space="0" w:color="auto"/>
      </w:divBdr>
    </w:div>
    <w:div w:id="1352026926">
      <w:bodyDiv w:val="1"/>
      <w:marLeft w:val="0"/>
      <w:marRight w:val="0"/>
      <w:marTop w:val="0"/>
      <w:marBottom w:val="0"/>
      <w:divBdr>
        <w:top w:val="none" w:sz="0" w:space="0" w:color="auto"/>
        <w:left w:val="none" w:sz="0" w:space="0" w:color="auto"/>
        <w:bottom w:val="none" w:sz="0" w:space="0" w:color="auto"/>
        <w:right w:val="none" w:sz="0" w:space="0" w:color="auto"/>
      </w:divBdr>
    </w:div>
    <w:div w:id="1355695745">
      <w:bodyDiv w:val="1"/>
      <w:marLeft w:val="0"/>
      <w:marRight w:val="0"/>
      <w:marTop w:val="0"/>
      <w:marBottom w:val="0"/>
      <w:divBdr>
        <w:top w:val="none" w:sz="0" w:space="0" w:color="auto"/>
        <w:left w:val="none" w:sz="0" w:space="0" w:color="auto"/>
        <w:bottom w:val="none" w:sz="0" w:space="0" w:color="auto"/>
        <w:right w:val="none" w:sz="0" w:space="0" w:color="auto"/>
      </w:divBdr>
    </w:div>
    <w:div w:id="1355956976">
      <w:bodyDiv w:val="1"/>
      <w:marLeft w:val="0"/>
      <w:marRight w:val="0"/>
      <w:marTop w:val="0"/>
      <w:marBottom w:val="0"/>
      <w:divBdr>
        <w:top w:val="none" w:sz="0" w:space="0" w:color="auto"/>
        <w:left w:val="none" w:sz="0" w:space="0" w:color="auto"/>
        <w:bottom w:val="none" w:sz="0" w:space="0" w:color="auto"/>
        <w:right w:val="none" w:sz="0" w:space="0" w:color="auto"/>
      </w:divBdr>
    </w:div>
    <w:div w:id="1357803077">
      <w:bodyDiv w:val="1"/>
      <w:marLeft w:val="0"/>
      <w:marRight w:val="0"/>
      <w:marTop w:val="0"/>
      <w:marBottom w:val="0"/>
      <w:divBdr>
        <w:top w:val="none" w:sz="0" w:space="0" w:color="auto"/>
        <w:left w:val="none" w:sz="0" w:space="0" w:color="auto"/>
        <w:bottom w:val="none" w:sz="0" w:space="0" w:color="auto"/>
        <w:right w:val="none" w:sz="0" w:space="0" w:color="auto"/>
      </w:divBdr>
    </w:div>
    <w:div w:id="1360199817">
      <w:bodyDiv w:val="1"/>
      <w:marLeft w:val="0"/>
      <w:marRight w:val="0"/>
      <w:marTop w:val="0"/>
      <w:marBottom w:val="0"/>
      <w:divBdr>
        <w:top w:val="none" w:sz="0" w:space="0" w:color="auto"/>
        <w:left w:val="none" w:sz="0" w:space="0" w:color="auto"/>
        <w:bottom w:val="none" w:sz="0" w:space="0" w:color="auto"/>
        <w:right w:val="none" w:sz="0" w:space="0" w:color="auto"/>
      </w:divBdr>
    </w:div>
    <w:div w:id="1360469842">
      <w:bodyDiv w:val="1"/>
      <w:marLeft w:val="0"/>
      <w:marRight w:val="0"/>
      <w:marTop w:val="0"/>
      <w:marBottom w:val="0"/>
      <w:divBdr>
        <w:top w:val="none" w:sz="0" w:space="0" w:color="auto"/>
        <w:left w:val="none" w:sz="0" w:space="0" w:color="auto"/>
        <w:bottom w:val="none" w:sz="0" w:space="0" w:color="auto"/>
        <w:right w:val="none" w:sz="0" w:space="0" w:color="auto"/>
      </w:divBdr>
    </w:div>
    <w:div w:id="1360546091">
      <w:bodyDiv w:val="1"/>
      <w:marLeft w:val="0"/>
      <w:marRight w:val="0"/>
      <w:marTop w:val="0"/>
      <w:marBottom w:val="0"/>
      <w:divBdr>
        <w:top w:val="none" w:sz="0" w:space="0" w:color="auto"/>
        <w:left w:val="none" w:sz="0" w:space="0" w:color="auto"/>
        <w:bottom w:val="none" w:sz="0" w:space="0" w:color="auto"/>
        <w:right w:val="none" w:sz="0" w:space="0" w:color="auto"/>
      </w:divBdr>
    </w:div>
    <w:div w:id="1364163448">
      <w:bodyDiv w:val="1"/>
      <w:marLeft w:val="0"/>
      <w:marRight w:val="0"/>
      <w:marTop w:val="0"/>
      <w:marBottom w:val="0"/>
      <w:divBdr>
        <w:top w:val="none" w:sz="0" w:space="0" w:color="auto"/>
        <w:left w:val="none" w:sz="0" w:space="0" w:color="auto"/>
        <w:bottom w:val="none" w:sz="0" w:space="0" w:color="auto"/>
        <w:right w:val="none" w:sz="0" w:space="0" w:color="auto"/>
      </w:divBdr>
    </w:div>
    <w:div w:id="1365406343">
      <w:bodyDiv w:val="1"/>
      <w:marLeft w:val="0"/>
      <w:marRight w:val="0"/>
      <w:marTop w:val="0"/>
      <w:marBottom w:val="0"/>
      <w:divBdr>
        <w:top w:val="none" w:sz="0" w:space="0" w:color="auto"/>
        <w:left w:val="none" w:sz="0" w:space="0" w:color="auto"/>
        <w:bottom w:val="none" w:sz="0" w:space="0" w:color="auto"/>
        <w:right w:val="none" w:sz="0" w:space="0" w:color="auto"/>
      </w:divBdr>
    </w:div>
    <w:div w:id="1367830263">
      <w:bodyDiv w:val="1"/>
      <w:marLeft w:val="0"/>
      <w:marRight w:val="0"/>
      <w:marTop w:val="0"/>
      <w:marBottom w:val="0"/>
      <w:divBdr>
        <w:top w:val="none" w:sz="0" w:space="0" w:color="auto"/>
        <w:left w:val="none" w:sz="0" w:space="0" w:color="auto"/>
        <w:bottom w:val="none" w:sz="0" w:space="0" w:color="auto"/>
        <w:right w:val="none" w:sz="0" w:space="0" w:color="auto"/>
      </w:divBdr>
    </w:div>
    <w:div w:id="1369066333">
      <w:bodyDiv w:val="1"/>
      <w:marLeft w:val="0"/>
      <w:marRight w:val="0"/>
      <w:marTop w:val="0"/>
      <w:marBottom w:val="0"/>
      <w:divBdr>
        <w:top w:val="none" w:sz="0" w:space="0" w:color="auto"/>
        <w:left w:val="none" w:sz="0" w:space="0" w:color="auto"/>
        <w:bottom w:val="none" w:sz="0" w:space="0" w:color="auto"/>
        <w:right w:val="none" w:sz="0" w:space="0" w:color="auto"/>
      </w:divBdr>
    </w:div>
    <w:div w:id="1369180995">
      <w:bodyDiv w:val="1"/>
      <w:marLeft w:val="0"/>
      <w:marRight w:val="0"/>
      <w:marTop w:val="0"/>
      <w:marBottom w:val="0"/>
      <w:divBdr>
        <w:top w:val="none" w:sz="0" w:space="0" w:color="auto"/>
        <w:left w:val="none" w:sz="0" w:space="0" w:color="auto"/>
        <w:bottom w:val="none" w:sz="0" w:space="0" w:color="auto"/>
        <w:right w:val="none" w:sz="0" w:space="0" w:color="auto"/>
      </w:divBdr>
    </w:div>
    <w:div w:id="1369985403">
      <w:bodyDiv w:val="1"/>
      <w:marLeft w:val="0"/>
      <w:marRight w:val="0"/>
      <w:marTop w:val="0"/>
      <w:marBottom w:val="0"/>
      <w:divBdr>
        <w:top w:val="none" w:sz="0" w:space="0" w:color="auto"/>
        <w:left w:val="none" w:sz="0" w:space="0" w:color="auto"/>
        <w:bottom w:val="none" w:sz="0" w:space="0" w:color="auto"/>
        <w:right w:val="none" w:sz="0" w:space="0" w:color="auto"/>
      </w:divBdr>
    </w:div>
    <w:div w:id="1371488691">
      <w:bodyDiv w:val="1"/>
      <w:marLeft w:val="0"/>
      <w:marRight w:val="0"/>
      <w:marTop w:val="0"/>
      <w:marBottom w:val="0"/>
      <w:divBdr>
        <w:top w:val="none" w:sz="0" w:space="0" w:color="auto"/>
        <w:left w:val="none" w:sz="0" w:space="0" w:color="auto"/>
        <w:bottom w:val="none" w:sz="0" w:space="0" w:color="auto"/>
        <w:right w:val="none" w:sz="0" w:space="0" w:color="auto"/>
      </w:divBdr>
    </w:div>
    <w:div w:id="1374034763">
      <w:bodyDiv w:val="1"/>
      <w:marLeft w:val="0"/>
      <w:marRight w:val="0"/>
      <w:marTop w:val="0"/>
      <w:marBottom w:val="0"/>
      <w:divBdr>
        <w:top w:val="none" w:sz="0" w:space="0" w:color="auto"/>
        <w:left w:val="none" w:sz="0" w:space="0" w:color="auto"/>
        <w:bottom w:val="none" w:sz="0" w:space="0" w:color="auto"/>
        <w:right w:val="none" w:sz="0" w:space="0" w:color="auto"/>
      </w:divBdr>
    </w:div>
    <w:div w:id="1374189587">
      <w:bodyDiv w:val="1"/>
      <w:marLeft w:val="0"/>
      <w:marRight w:val="0"/>
      <w:marTop w:val="0"/>
      <w:marBottom w:val="0"/>
      <w:divBdr>
        <w:top w:val="none" w:sz="0" w:space="0" w:color="auto"/>
        <w:left w:val="none" w:sz="0" w:space="0" w:color="auto"/>
        <w:bottom w:val="none" w:sz="0" w:space="0" w:color="auto"/>
        <w:right w:val="none" w:sz="0" w:space="0" w:color="auto"/>
      </w:divBdr>
    </w:div>
    <w:div w:id="1375807795">
      <w:bodyDiv w:val="1"/>
      <w:marLeft w:val="0"/>
      <w:marRight w:val="0"/>
      <w:marTop w:val="0"/>
      <w:marBottom w:val="0"/>
      <w:divBdr>
        <w:top w:val="none" w:sz="0" w:space="0" w:color="auto"/>
        <w:left w:val="none" w:sz="0" w:space="0" w:color="auto"/>
        <w:bottom w:val="none" w:sz="0" w:space="0" w:color="auto"/>
        <w:right w:val="none" w:sz="0" w:space="0" w:color="auto"/>
      </w:divBdr>
    </w:div>
    <w:div w:id="1384987127">
      <w:bodyDiv w:val="1"/>
      <w:marLeft w:val="0"/>
      <w:marRight w:val="0"/>
      <w:marTop w:val="0"/>
      <w:marBottom w:val="0"/>
      <w:divBdr>
        <w:top w:val="none" w:sz="0" w:space="0" w:color="auto"/>
        <w:left w:val="none" w:sz="0" w:space="0" w:color="auto"/>
        <w:bottom w:val="none" w:sz="0" w:space="0" w:color="auto"/>
        <w:right w:val="none" w:sz="0" w:space="0" w:color="auto"/>
      </w:divBdr>
    </w:div>
    <w:div w:id="1389183557">
      <w:bodyDiv w:val="1"/>
      <w:marLeft w:val="0"/>
      <w:marRight w:val="0"/>
      <w:marTop w:val="0"/>
      <w:marBottom w:val="0"/>
      <w:divBdr>
        <w:top w:val="none" w:sz="0" w:space="0" w:color="auto"/>
        <w:left w:val="none" w:sz="0" w:space="0" w:color="auto"/>
        <w:bottom w:val="none" w:sz="0" w:space="0" w:color="auto"/>
        <w:right w:val="none" w:sz="0" w:space="0" w:color="auto"/>
      </w:divBdr>
    </w:div>
    <w:div w:id="1396008346">
      <w:bodyDiv w:val="1"/>
      <w:marLeft w:val="0"/>
      <w:marRight w:val="0"/>
      <w:marTop w:val="0"/>
      <w:marBottom w:val="0"/>
      <w:divBdr>
        <w:top w:val="none" w:sz="0" w:space="0" w:color="auto"/>
        <w:left w:val="none" w:sz="0" w:space="0" w:color="auto"/>
        <w:bottom w:val="none" w:sz="0" w:space="0" w:color="auto"/>
        <w:right w:val="none" w:sz="0" w:space="0" w:color="auto"/>
      </w:divBdr>
    </w:div>
    <w:div w:id="1400056990">
      <w:bodyDiv w:val="1"/>
      <w:marLeft w:val="0"/>
      <w:marRight w:val="0"/>
      <w:marTop w:val="0"/>
      <w:marBottom w:val="0"/>
      <w:divBdr>
        <w:top w:val="none" w:sz="0" w:space="0" w:color="auto"/>
        <w:left w:val="none" w:sz="0" w:space="0" w:color="auto"/>
        <w:bottom w:val="none" w:sz="0" w:space="0" w:color="auto"/>
        <w:right w:val="none" w:sz="0" w:space="0" w:color="auto"/>
      </w:divBdr>
    </w:div>
    <w:div w:id="1400444022">
      <w:bodyDiv w:val="1"/>
      <w:marLeft w:val="0"/>
      <w:marRight w:val="0"/>
      <w:marTop w:val="0"/>
      <w:marBottom w:val="0"/>
      <w:divBdr>
        <w:top w:val="none" w:sz="0" w:space="0" w:color="auto"/>
        <w:left w:val="none" w:sz="0" w:space="0" w:color="auto"/>
        <w:bottom w:val="none" w:sz="0" w:space="0" w:color="auto"/>
        <w:right w:val="none" w:sz="0" w:space="0" w:color="auto"/>
      </w:divBdr>
    </w:div>
    <w:div w:id="1400591044">
      <w:bodyDiv w:val="1"/>
      <w:marLeft w:val="0"/>
      <w:marRight w:val="0"/>
      <w:marTop w:val="0"/>
      <w:marBottom w:val="0"/>
      <w:divBdr>
        <w:top w:val="none" w:sz="0" w:space="0" w:color="auto"/>
        <w:left w:val="none" w:sz="0" w:space="0" w:color="auto"/>
        <w:bottom w:val="none" w:sz="0" w:space="0" w:color="auto"/>
        <w:right w:val="none" w:sz="0" w:space="0" w:color="auto"/>
      </w:divBdr>
    </w:div>
    <w:div w:id="1401178189">
      <w:bodyDiv w:val="1"/>
      <w:marLeft w:val="0"/>
      <w:marRight w:val="0"/>
      <w:marTop w:val="0"/>
      <w:marBottom w:val="0"/>
      <w:divBdr>
        <w:top w:val="none" w:sz="0" w:space="0" w:color="auto"/>
        <w:left w:val="none" w:sz="0" w:space="0" w:color="auto"/>
        <w:bottom w:val="none" w:sz="0" w:space="0" w:color="auto"/>
        <w:right w:val="none" w:sz="0" w:space="0" w:color="auto"/>
      </w:divBdr>
    </w:div>
    <w:div w:id="1403288870">
      <w:bodyDiv w:val="1"/>
      <w:marLeft w:val="0"/>
      <w:marRight w:val="0"/>
      <w:marTop w:val="0"/>
      <w:marBottom w:val="0"/>
      <w:divBdr>
        <w:top w:val="none" w:sz="0" w:space="0" w:color="auto"/>
        <w:left w:val="none" w:sz="0" w:space="0" w:color="auto"/>
        <w:bottom w:val="none" w:sz="0" w:space="0" w:color="auto"/>
        <w:right w:val="none" w:sz="0" w:space="0" w:color="auto"/>
      </w:divBdr>
    </w:div>
    <w:div w:id="1404067139">
      <w:bodyDiv w:val="1"/>
      <w:marLeft w:val="0"/>
      <w:marRight w:val="0"/>
      <w:marTop w:val="0"/>
      <w:marBottom w:val="0"/>
      <w:divBdr>
        <w:top w:val="none" w:sz="0" w:space="0" w:color="auto"/>
        <w:left w:val="none" w:sz="0" w:space="0" w:color="auto"/>
        <w:bottom w:val="none" w:sz="0" w:space="0" w:color="auto"/>
        <w:right w:val="none" w:sz="0" w:space="0" w:color="auto"/>
      </w:divBdr>
    </w:div>
    <w:div w:id="1405495692">
      <w:bodyDiv w:val="1"/>
      <w:marLeft w:val="0"/>
      <w:marRight w:val="0"/>
      <w:marTop w:val="0"/>
      <w:marBottom w:val="0"/>
      <w:divBdr>
        <w:top w:val="none" w:sz="0" w:space="0" w:color="auto"/>
        <w:left w:val="none" w:sz="0" w:space="0" w:color="auto"/>
        <w:bottom w:val="none" w:sz="0" w:space="0" w:color="auto"/>
        <w:right w:val="none" w:sz="0" w:space="0" w:color="auto"/>
      </w:divBdr>
    </w:div>
    <w:div w:id="1406564135">
      <w:bodyDiv w:val="1"/>
      <w:marLeft w:val="0"/>
      <w:marRight w:val="0"/>
      <w:marTop w:val="0"/>
      <w:marBottom w:val="0"/>
      <w:divBdr>
        <w:top w:val="none" w:sz="0" w:space="0" w:color="auto"/>
        <w:left w:val="none" w:sz="0" w:space="0" w:color="auto"/>
        <w:bottom w:val="none" w:sz="0" w:space="0" w:color="auto"/>
        <w:right w:val="none" w:sz="0" w:space="0" w:color="auto"/>
      </w:divBdr>
    </w:div>
    <w:div w:id="1410927005">
      <w:bodyDiv w:val="1"/>
      <w:marLeft w:val="0"/>
      <w:marRight w:val="0"/>
      <w:marTop w:val="0"/>
      <w:marBottom w:val="0"/>
      <w:divBdr>
        <w:top w:val="none" w:sz="0" w:space="0" w:color="auto"/>
        <w:left w:val="none" w:sz="0" w:space="0" w:color="auto"/>
        <w:bottom w:val="none" w:sz="0" w:space="0" w:color="auto"/>
        <w:right w:val="none" w:sz="0" w:space="0" w:color="auto"/>
      </w:divBdr>
    </w:div>
    <w:div w:id="1417046254">
      <w:bodyDiv w:val="1"/>
      <w:marLeft w:val="0"/>
      <w:marRight w:val="0"/>
      <w:marTop w:val="0"/>
      <w:marBottom w:val="0"/>
      <w:divBdr>
        <w:top w:val="none" w:sz="0" w:space="0" w:color="auto"/>
        <w:left w:val="none" w:sz="0" w:space="0" w:color="auto"/>
        <w:bottom w:val="none" w:sz="0" w:space="0" w:color="auto"/>
        <w:right w:val="none" w:sz="0" w:space="0" w:color="auto"/>
      </w:divBdr>
    </w:div>
    <w:div w:id="1417288796">
      <w:bodyDiv w:val="1"/>
      <w:marLeft w:val="0"/>
      <w:marRight w:val="0"/>
      <w:marTop w:val="0"/>
      <w:marBottom w:val="0"/>
      <w:divBdr>
        <w:top w:val="none" w:sz="0" w:space="0" w:color="auto"/>
        <w:left w:val="none" w:sz="0" w:space="0" w:color="auto"/>
        <w:bottom w:val="none" w:sz="0" w:space="0" w:color="auto"/>
        <w:right w:val="none" w:sz="0" w:space="0" w:color="auto"/>
      </w:divBdr>
    </w:div>
    <w:div w:id="1419404885">
      <w:bodyDiv w:val="1"/>
      <w:marLeft w:val="0"/>
      <w:marRight w:val="0"/>
      <w:marTop w:val="0"/>
      <w:marBottom w:val="0"/>
      <w:divBdr>
        <w:top w:val="none" w:sz="0" w:space="0" w:color="auto"/>
        <w:left w:val="none" w:sz="0" w:space="0" w:color="auto"/>
        <w:bottom w:val="none" w:sz="0" w:space="0" w:color="auto"/>
        <w:right w:val="none" w:sz="0" w:space="0" w:color="auto"/>
      </w:divBdr>
    </w:div>
    <w:div w:id="1420911856">
      <w:bodyDiv w:val="1"/>
      <w:marLeft w:val="0"/>
      <w:marRight w:val="0"/>
      <w:marTop w:val="0"/>
      <w:marBottom w:val="0"/>
      <w:divBdr>
        <w:top w:val="none" w:sz="0" w:space="0" w:color="auto"/>
        <w:left w:val="none" w:sz="0" w:space="0" w:color="auto"/>
        <w:bottom w:val="none" w:sz="0" w:space="0" w:color="auto"/>
        <w:right w:val="none" w:sz="0" w:space="0" w:color="auto"/>
      </w:divBdr>
    </w:div>
    <w:div w:id="1426733855">
      <w:bodyDiv w:val="1"/>
      <w:marLeft w:val="0"/>
      <w:marRight w:val="0"/>
      <w:marTop w:val="0"/>
      <w:marBottom w:val="0"/>
      <w:divBdr>
        <w:top w:val="none" w:sz="0" w:space="0" w:color="auto"/>
        <w:left w:val="none" w:sz="0" w:space="0" w:color="auto"/>
        <w:bottom w:val="none" w:sz="0" w:space="0" w:color="auto"/>
        <w:right w:val="none" w:sz="0" w:space="0" w:color="auto"/>
      </w:divBdr>
    </w:div>
    <w:div w:id="1433549170">
      <w:bodyDiv w:val="1"/>
      <w:marLeft w:val="0"/>
      <w:marRight w:val="0"/>
      <w:marTop w:val="0"/>
      <w:marBottom w:val="0"/>
      <w:divBdr>
        <w:top w:val="none" w:sz="0" w:space="0" w:color="auto"/>
        <w:left w:val="none" w:sz="0" w:space="0" w:color="auto"/>
        <w:bottom w:val="none" w:sz="0" w:space="0" w:color="auto"/>
        <w:right w:val="none" w:sz="0" w:space="0" w:color="auto"/>
      </w:divBdr>
    </w:div>
    <w:div w:id="1433626608">
      <w:bodyDiv w:val="1"/>
      <w:marLeft w:val="0"/>
      <w:marRight w:val="0"/>
      <w:marTop w:val="0"/>
      <w:marBottom w:val="0"/>
      <w:divBdr>
        <w:top w:val="none" w:sz="0" w:space="0" w:color="auto"/>
        <w:left w:val="none" w:sz="0" w:space="0" w:color="auto"/>
        <w:bottom w:val="none" w:sz="0" w:space="0" w:color="auto"/>
        <w:right w:val="none" w:sz="0" w:space="0" w:color="auto"/>
      </w:divBdr>
    </w:div>
    <w:div w:id="1434321725">
      <w:bodyDiv w:val="1"/>
      <w:marLeft w:val="0"/>
      <w:marRight w:val="0"/>
      <w:marTop w:val="0"/>
      <w:marBottom w:val="0"/>
      <w:divBdr>
        <w:top w:val="none" w:sz="0" w:space="0" w:color="auto"/>
        <w:left w:val="none" w:sz="0" w:space="0" w:color="auto"/>
        <w:bottom w:val="none" w:sz="0" w:space="0" w:color="auto"/>
        <w:right w:val="none" w:sz="0" w:space="0" w:color="auto"/>
      </w:divBdr>
    </w:div>
    <w:div w:id="1440445106">
      <w:bodyDiv w:val="1"/>
      <w:marLeft w:val="0"/>
      <w:marRight w:val="0"/>
      <w:marTop w:val="0"/>
      <w:marBottom w:val="0"/>
      <w:divBdr>
        <w:top w:val="none" w:sz="0" w:space="0" w:color="auto"/>
        <w:left w:val="none" w:sz="0" w:space="0" w:color="auto"/>
        <w:bottom w:val="none" w:sz="0" w:space="0" w:color="auto"/>
        <w:right w:val="none" w:sz="0" w:space="0" w:color="auto"/>
      </w:divBdr>
    </w:div>
    <w:div w:id="1441484364">
      <w:bodyDiv w:val="1"/>
      <w:marLeft w:val="0"/>
      <w:marRight w:val="0"/>
      <w:marTop w:val="0"/>
      <w:marBottom w:val="0"/>
      <w:divBdr>
        <w:top w:val="none" w:sz="0" w:space="0" w:color="auto"/>
        <w:left w:val="none" w:sz="0" w:space="0" w:color="auto"/>
        <w:bottom w:val="none" w:sz="0" w:space="0" w:color="auto"/>
        <w:right w:val="none" w:sz="0" w:space="0" w:color="auto"/>
      </w:divBdr>
    </w:div>
    <w:div w:id="1441489514">
      <w:bodyDiv w:val="1"/>
      <w:marLeft w:val="0"/>
      <w:marRight w:val="0"/>
      <w:marTop w:val="0"/>
      <w:marBottom w:val="0"/>
      <w:divBdr>
        <w:top w:val="none" w:sz="0" w:space="0" w:color="auto"/>
        <w:left w:val="none" w:sz="0" w:space="0" w:color="auto"/>
        <w:bottom w:val="none" w:sz="0" w:space="0" w:color="auto"/>
        <w:right w:val="none" w:sz="0" w:space="0" w:color="auto"/>
      </w:divBdr>
    </w:div>
    <w:div w:id="1442145245">
      <w:bodyDiv w:val="1"/>
      <w:marLeft w:val="0"/>
      <w:marRight w:val="0"/>
      <w:marTop w:val="0"/>
      <w:marBottom w:val="0"/>
      <w:divBdr>
        <w:top w:val="none" w:sz="0" w:space="0" w:color="auto"/>
        <w:left w:val="none" w:sz="0" w:space="0" w:color="auto"/>
        <w:bottom w:val="none" w:sz="0" w:space="0" w:color="auto"/>
        <w:right w:val="none" w:sz="0" w:space="0" w:color="auto"/>
      </w:divBdr>
    </w:div>
    <w:div w:id="1442648208">
      <w:bodyDiv w:val="1"/>
      <w:marLeft w:val="0"/>
      <w:marRight w:val="0"/>
      <w:marTop w:val="0"/>
      <w:marBottom w:val="0"/>
      <w:divBdr>
        <w:top w:val="none" w:sz="0" w:space="0" w:color="auto"/>
        <w:left w:val="none" w:sz="0" w:space="0" w:color="auto"/>
        <w:bottom w:val="none" w:sz="0" w:space="0" w:color="auto"/>
        <w:right w:val="none" w:sz="0" w:space="0" w:color="auto"/>
      </w:divBdr>
    </w:div>
    <w:div w:id="1448038713">
      <w:bodyDiv w:val="1"/>
      <w:marLeft w:val="0"/>
      <w:marRight w:val="0"/>
      <w:marTop w:val="0"/>
      <w:marBottom w:val="0"/>
      <w:divBdr>
        <w:top w:val="none" w:sz="0" w:space="0" w:color="auto"/>
        <w:left w:val="none" w:sz="0" w:space="0" w:color="auto"/>
        <w:bottom w:val="none" w:sz="0" w:space="0" w:color="auto"/>
        <w:right w:val="none" w:sz="0" w:space="0" w:color="auto"/>
      </w:divBdr>
    </w:div>
    <w:div w:id="1448695596">
      <w:bodyDiv w:val="1"/>
      <w:marLeft w:val="0"/>
      <w:marRight w:val="0"/>
      <w:marTop w:val="0"/>
      <w:marBottom w:val="0"/>
      <w:divBdr>
        <w:top w:val="none" w:sz="0" w:space="0" w:color="auto"/>
        <w:left w:val="none" w:sz="0" w:space="0" w:color="auto"/>
        <w:bottom w:val="none" w:sz="0" w:space="0" w:color="auto"/>
        <w:right w:val="none" w:sz="0" w:space="0" w:color="auto"/>
      </w:divBdr>
    </w:div>
    <w:div w:id="1453288220">
      <w:bodyDiv w:val="1"/>
      <w:marLeft w:val="0"/>
      <w:marRight w:val="0"/>
      <w:marTop w:val="0"/>
      <w:marBottom w:val="0"/>
      <w:divBdr>
        <w:top w:val="none" w:sz="0" w:space="0" w:color="auto"/>
        <w:left w:val="none" w:sz="0" w:space="0" w:color="auto"/>
        <w:bottom w:val="none" w:sz="0" w:space="0" w:color="auto"/>
        <w:right w:val="none" w:sz="0" w:space="0" w:color="auto"/>
      </w:divBdr>
    </w:div>
    <w:div w:id="1454976989">
      <w:bodyDiv w:val="1"/>
      <w:marLeft w:val="0"/>
      <w:marRight w:val="0"/>
      <w:marTop w:val="0"/>
      <w:marBottom w:val="0"/>
      <w:divBdr>
        <w:top w:val="none" w:sz="0" w:space="0" w:color="auto"/>
        <w:left w:val="none" w:sz="0" w:space="0" w:color="auto"/>
        <w:bottom w:val="none" w:sz="0" w:space="0" w:color="auto"/>
        <w:right w:val="none" w:sz="0" w:space="0" w:color="auto"/>
      </w:divBdr>
    </w:div>
    <w:div w:id="1455520706">
      <w:bodyDiv w:val="1"/>
      <w:marLeft w:val="0"/>
      <w:marRight w:val="0"/>
      <w:marTop w:val="0"/>
      <w:marBottom w:val="0"/>
      <w:divBdr>
        <w:top w:val="none" w:sz="0" w:space="0" w:color="auto"/>
        <w:left w:val="none" w:sz="0" w:space="0" w:color="auto"/>
        <w:bottom w:val="none" w:sz="0" w:space="0" w:color="auto"/>
        <w:right w:val="none" w:sz="0" w:space="0" w:color="auto"/>
      </w:divBdr>
    </w:div>
    <w:div w:id="1461142674">
      <w:bodyDiv w:val="1"/>
      <w:marLeft w:val="0"/>
      <w:marRight w:val="0"/>
      <w:marTop w:val="0"/>
      <w:marBottom w:val="0"/>
      <w:divBdr>
        <w:top w:val="none" w:sz="0" w:space="0" w:color="auto"/>
        <w:left w:val="none" w:sz="0" w:space="0" w:color="auto"/>
        <w:bottom w:val="none" w:sz="0" w:space="0" w:color="auto"/>
        <w:right w:val="none" w:sz="0" w:space="0" w:color="auto"/>
      </w:divBdr>
    </w:div>
    <w:div w:id="1463961083">
      <w:bodyDiv w:val="1"/>
      <w:marLeft w:val="0"/>
      <w:marRight w:val="0"/>
      <w:marTop w:val="0"/>
      <w:marBottom w:val="0"/>
      <w:divBdr>
        <w:top w:val="none" w:sz="0" w:space="0" w:color="auto"/>
        <w:left w:val="none" w:sz="0" w:space="0" w:color="auto"/>
        <w:bottom w:val="none" w:sz="0" w:space="0" w:color="auto"/>
        <w:right w:val="none" w:sz="0" w:space="0" w:color="auto"/>
      </w:divBdr>
    </w:div>
    <w:div w:id="1466241444">
      <w:bodyDiv w:val="1"/>
      <w:marLeft w:val="0"/>
      <w:marRight w:val="0"/>
      <w:marTop w:val="0"/>
      <w:marBottom w:val="0"/>
      <w:divBdr>
        <w:top w:val="none" w:sz="0" w:space="0" w:color="auto"/>
        <w:left w:val="none" w:sz="0" w:space="0" w:color="auto"/>
        <w:bottom w:val="none" w:sz="0" w:space="0" w:color="auto"/>
        <w:right w:val="none" w:sz="0" w:space="0" w:color="auto"/>
      </w:divBdr>
    </w:div>
    <w:div w:id="1468425700">
      <w:bodyDiv w:val="1"/>
      <w:marLeft w:val="0"/>
      <w:marRight w:val="0"/>
      <w:marTop w:val="0"/>
      <w:marBottom w:val="0"/>
      <w:divBdr>
        <w:top w:val="none" w:sz="0" w:space="0" w:color="auto"/>
        <w:left w:val="none" w:sz="0" w:space="0" w:color="auto"/>
        <w:bottom w:val="none" w:sz="0" w:space="0" w:color="auto"/>
        <w:right w:val="none" w:sz="0" w:space="0" w:color="auto"/>
      </w:divBdr>
    </w:div>
    <w:div w:id="1468887924">
      <w:bodyDiv w:val="1"/>
      <w:marLeft w:val="0"/>
      <w:marRight w:val="0"/>
      <w:marTop w:val="0"/>
      <w:marBottom w:val="0"/>
      <w:divBdr>
        <w:top w:val="none" w:sz="0" w:space="0" w:color="auto"/>
        <w:left w:val="none" w:sz="0" w:space="0" w:color="auto"/>
        <w:bottom w:val="none" w:sz="0" w:space="0" w:color="auto"/>
        <w:right w:val="none" w:sz="0" w:space="0" w:color="auto"/>
      </w:divBdr>
    </w:div>
    <w:div w:id="1468889042">
      <w:bodyDiv w:val="1"/>
      <w:marLeft w:val="0"/>
      <w:marRight w:val="0"/>
      <w:marTop w:val="0"/>
      <w:marBottom w:val="0"/>
      <w:divBdr>
        <w:top w:val="none" w:sz="0" w:space="0" w:color="auto"/>
        <w:left w:val="none" w:sz="0" w:space="0" w:color="auto"/>
        <w:bottom w:val="none" w:sz="0" w:space="0" w:color="auto"/>
        <w:right w:val="none" w:sz="0" w:space="0" w:color="auto"/>
      </w:divBdr>
    </w:div>
    <w:div w:id="1468939571">
      <w:bodyDiv w:val="1"/>
      <w:marLeft w:val="0"/>
      <w:marRight w:val="0"/>
      <w:marTop w:val="0"/>
      <w:marBottom w:val="0"/>
      <w:divBdr>
        <w:top w:val="none" w:sz="0" w:space="0" w:color="auto"/>
        <w:left w:val="none" w:sz="0" w:space="0" w:color="auto"/>
        <w:bottom w:val="none" w:sz="0" w:space="0" w:color="auto"/>
        <w:right w:val="none" w:sz="0" w:space="0" w:color="auto"/>
      </w:divBdr>
    </w:div>
    <w:div w:id="1469517557">
      <w:bodyDiv w:val="1"/>
      <w:marLeft w:val="0"/>
      <w:marRight w:val="0"/>
      <w:marTop w:val="0"/>
      <w:marBottom w:val="0"/>
      <w:divBdr>
        <w:top w:val="none" w:sz="0" w:space="0" w:color="auto"/>
        <w:left w:val="none" w:sz="0" w:space="0" w:color="auto"/>
        <w:bottom w:val="none" w:sz="0" w:space="0" w:color="auto"/>
        <w:right w:val="none" w:sz="0" w:space="0" w:color="auto"/>
      </w:divBdr>
    </w:div>
    <w:div w:id="1471479820">
      <w:bodyDiv w:val="1"/>
      <w:marLeft w:val="0"/>
      <w:marRight w:val="0"/>
      <w:marTop w:val="0"/>
      <w:marBottom w:val="0"/>
      <w:divBdr>
        <w:top w:val="none" w:sz="0" w:space="0" w:color="auto"/>
        <w:left w:val="none" w:sz="0" w:space="0" w:color="auto"/>
        <w:bottom w:val="none" w:sz="0" w:space="0" w:color="auto"/>
        <w:right w:val="none" w:sz="0" w:space="0" w:color="auto"/>
      </w:divBdr>
    </w:div>
    <w:div w:id="1472595051">
      <w:bodyDiv w:val="1"/>
      <w:marLeft w:val="0"/>
      <w:marRight w:val="0"/>
      <w:marTop w:val="0"/>
      <w:marBottom w:val="0"/>
      <w:divBdr>
        <w:top w:val="none" w:sz="0" w:space="0" w:color="auto"/>
        <w:left w:val="none" w:sz="0" w:space="0" w:color="auto"/>
        <w:bottom w:val="none" w:sz="0" w:space="0" w:color="auto"/>
        <w:right w:val="none" w:sz="0" w:space="0" w:color="auto"/>
      </w:divBdr>
    </w:div>
    <w:div w:id="1479571899">
      <w:bodyDiv w:val="1"/>
      <w:marLeft w:val="0"/>
      <w:marRight w:val="0"/>
      <w:marTop w:val="0"/>
      <w:marBottom w:val="0"/>
      <w:divBdr>
        <w:top w:val="none" w:sz="0" w:space="0" w:color="auto"/>
        <w:left w:val="none" w:sz="0" w:space="0" w:color="auto"/>
        <w:bottom w:val="none" w:sz="0" w:space="0" w:color="auto"/>
        <w:right w:val="none" w:sz="0" w:space="0" w:color="auto"/>
      </w:divBdr>
    </w:div>
    <w:div w:id="1482040273">
      <w:bodyDiv w:val="1"/>
      <w:marLeft w:val="0"/>
      <w:marRight w:val="0"/>
      <w:marTop w:val="0"/>
      <w:marBottom w:val="0"/>
      <w:divBdr>
        <w:top w:val="none" w:sz="0" w:space="0" w:color="auto"/>
        <w:left w:val="none" w:sz="0" w:space="0" w:color="auto"/>
        <w:bottom w:val="none" w:sz="0" w:space="0" w:color="auto"/>
        <w:right w:val="none" w:sz="0" w:space="0" w:color="auto"/>
      </w:divBdr>
    </w:div>
    <w:div w:id="1482579201">
      <w:bodyDiv w:val="1"/>
      <w:marLeft w:val="0"/>
      <w:marRight w:val="0"/>
      <w:marTop w:val="0"/>
      <w:marBottom w:val="0"/>
      <w:divBdr>
        <w:top w:val="none" w:sz="0" w:space="0" w:color="auto"/>
        <w:left w:val="none" w:sz="0" w:space="0" w:color="auto"/>
        <w:bottom w:val="none" w:sz="0" w:space="0" w:color="auto"/>
        <w:right w:val="none" w:sz="0" w:space="0" w:color="auto"/>
      </w:divBdr>
    </w:div>
    <w:div w:id="1486629822">
      <w:bodyDiv w:val="1"/>
      <w:marLeft w:val="0"/>
      <w:marRight w:val="0"/>
      <w:marTop w:val="0"/>
      <w:marBottom w:val="0"/>
      <w:divBdr>
        <w:top w:val="none" w:sz="0" w:space="0" w:color="auto"/>
        <w:left w:val="none" w:sz="0" w:space="0" w:color="auto"/>
        <w:bottom w:val="none" w:sz="0" w:space="0" w:color="auto"/>
        <w:right w:val="none" w:sz="0" w:space="0" w:color="auto"/>
      </w:divBdr>
    </w:div>
    <w:div w:id="1487818977">
      <w:bodyDiv w:val="1"/>
      <w:marLeft w:val="0"/>
      <w:marRight w:val="0"/>
      <w:marTop w:val="0"/>
      <w:marBottom w:val="0"/>
      <w:divBdr>
        <w:top w:val="none" w:sz="0" w:space="0" w:color="auto"/>
        <w:left w:val="none" w:sz="0" w:space="0" w:color="auto"/>
        <w:bottom w:val="none" w:sz="0" w:space="0" w:color="auto"/>
        <w:right w:val="none" w:sz="0" w:space="0" w:color="auto"/>
      </w:divBdr>
    </w:div>
    <w:div w:id="1490362185">
      <w:bodyDiv w:val="1"/>
      <w:marLeft w:val="0"/>
      <w:marRight w:val="0"/>
      <w:marTop w:val="0"/>
      <w:marBottom w:val="0"/>
      <w:divBdr>
        <w:top w:val="none" w:sz="0" w:space="0" w:color="auto"/>
        <w:left w:val="none" w:sz="0" w:space="0" w:color="auto"/>
        <w:bottom w:val="none" w:sz="0" w:space="0" w:color="auto"/>
        <w:right w:val="none" w:sz="0" w:space="0" w:color="auto"/>
      </w:divBdr>
    </w:div>
    <w:div w:id="1492065210">
      <w:bodyDiv w:val="1"/>
      <w:marLeft w:val="0"/>
      <w:marRight w:val="0"/>
      <w:marTop w:val="0"/>
      <w:marBottom w:val="0"/>
      <w:divBdr>
        <w:top w:val="none" w:sz="0" w:space="0" w:color="auto"/>
        <w:left w:val="none" w:sz="0" w:space="0" w:color="auto"/>
        <w:bottom w:val="none" w:sz="0" w:space="0" w:color="auto"/>
        <w:right w:val="none" w:sz="0" w:space="0" w:color="auto"/>
      </w:divBdr>
    </w:div>
    <w:div w:id="1496723354">
      <w:bodyDiv w:val="1"/>
      <w:marLeft w:val="0"/>
      <w:marRight w:val="0"/>
      <w:marTop w:val="0"/>
      <w:marBottom w:val="0"/>
      <w:divBdr>
        <w:top w:val="none" w:sz="0" w:space="0" w:color="auto"/>
        <w:left w:val="none" w:sz="0" w:space="0" w:color="auto"/>
        <w:bottom w:val="none" w:sz="0" w:space="0" w:color="auto"/>
        <w:right w:val="none" w:sz="0" w:space="0" w:color="auto"/>
      </w:divBdr>
    </w:div>
    <w:div w:id="1497064859">
      <w:bodyDiv w:val="1"/>
      <w:marLeft w:val="0"/>
      <w:marRight w:val="0"/>
      <w:marTop w:val="0"/>
      <w:marBottom w:val="0"/>
      <w:divBdr>
        <w:top w:val="none" w:sz="0" w:space="0" w:color="auto"/>
        <w:left w:val="none" w:sz="0" w:space="0" w:color="auto"/>
        <w:bottom w:val="none" w:sz="0" w:space="0" w:color="auto"/>
        <w:right w:val="none" w:sz="0" w:space="0" w:color="auto"/>
      </w:divBdr>
    </w:div>
    <w:div w:id="1502164498">
      <w:bodyDiv w:val="1"/>
      <w:marLeft w:val="0"/>
      <w:marRight w:val="0"/>
      <w:marTop w:val="0"/>
      <w:marBottom w:val="0"/>
      <w:divBdr>
        <w:top w:val="none" w:sz="0" w:space="0" w:color="auto"/>
        <w:left w:val="none" w:sz="0" w:space="0" w:color="auto"/>
        <w:bottom w:val="none" w:sz="0" w:space="0" w:color="auto"/>
        <w:right w:val="none" w:sz="0" w:space="0" w:color="auto"/>
      </w:divBdr>
    </w:div>
    <w:div w:id="1505782216">
      <w:bodyDiv w:val="1"/>
      <w:marLeft w:val="0"/>
      <w:marRight w:val="0"/>
      <w:marTop w:val="0"/>
      <w:marBottom w:val="0"/>
      <w:divBdr>
        <w:top w:val="none" w:sz="0" w:space="0" w:color="auto"/>
        <w:left w:val="none" w:sz="0" w:space="0" w:color="auto"/>
        <w:bottom w:val="none" w:sz="0" w:space="0" w:color="auto"/>
        <w:right w:val="none" w:sz="0" w:space="0" w:color="auto"/>
      </w:divBdr>
    </w:div>
    <w:div w:id="1506021216">
      <w:bodyDiv w:val="1"/>
      <w:marLeft w:val="0"/>
      <w:marRight w:val="0"/>
      <w:marTop w:val="0"/>
      <w:marBottom w:val="0"/>
      <w:divBdr>
        <w:top w:val="none" w:sz="0" w:space="0" w:color="auto"/>
        <w:left w:val="none" w:sz="0" w:space="0" w:color="auto"/>
        <w:bottom w:val="none" w:sz="0" w:space="0" w:color="auto"/>
        <w:right w:val="none" w:sz="0" w:space="0" w:color="auto"/>
      </w:divBdr>
    </w:div>
    <w:div w:id="1506090795">
      <w:bodyDiv w:val="1"/>
      <w:marLeft w:val="0"/>
      <w:marRight w:val="0"/>
      <w:marTop w:val="0"/>
      <w:marBottom w:val="0"/>
      <w:divBdr>
        <w:top w:val="none" w:sz="0" w:space="0" w:color="auto"/>
        <w:left w:val="none" w:sz="0" w:space="0" w:color="auto"/>
        <w:bottom w:val="none" w:sz="0" w:space="0" w:color="auto"/>
        <w:right w:val="none" w:sz="0" w:space="0" w:color="auto"/>
      </w:divBdr>
    </w:div>
    <w:div w:id="1506633606">
      <w:bodyDiv w:val="1"/>
      <w:marLeft w:val="0"/>
      <w:marRight w:val="0"/>
      <w:marTop w:val="0"/>
      <w:marBottom w:val="0"/>
      <w:divBdr>
        <w:top w:val="none" w:sz="0" w:space="0" w:color="auto"/>
        <w:left w:val="none" w:sz="0" w:space="0" w:color="auto"/>
        <w:bottom w:val="none" w:sz="0" w:space="0" w:color="auto"/>
        <w:right w:val="none" w:sz="0" w:space="0" w:color="auto"/>
      </w:divBdr>
    </w:div>
    <w:div w:id="1508325757">
      <w:bodyDiv w:val="1"/>
      <w:marLeft w:val="0"/>
      <w:marRight w:val="0"/>
      <w:marTop w:val="0"/>
      <w:marBottom w:val="0"/>
      <w:divBdr>
        <w:top w:val="none" w:sz="0" w:space="0" w:color="auto"/>
        <w:left w:val="none" w:sz="0" w:space="0" w:color="auto"/>
        <w:bottom w:val="none" w:sz="0" w:space="0" w:color="auto"/>
        <w:right w:val="none" w:sz="0" w:space="0" w:color="auto"/>
      </w:divBdr>
    </w:div>
    <w:div w:id="1509053659">
      <w:bodyDiv w:val="1"/>
      <w:marLeft w:val="0"/>
      <w:marRight w:val="0"/>
      <w:marTop w:val="0"/>
      <w:marBottom w:val="0"/>
      <w:divBdr>
        <w:top w:val="none" w:sz="0" w:space="0" w:color="auto"/>
        <w:left w:val="none" w:sz="0" w:space="0" w:color="auto"/>
        <w:bottom w:val="none" w:sz="0" w:space="0" w:color="auto"/>
        <w:right w:val="none" w:sz="0" w:space="0" w:color="auto"/>
      </w:divBdr>
    </w:div>
    <w:div w:id="1513489454">
      <w:bodyDiv w:val="1"/>
      <w:marLeft w:val="0"/>
      <w:marRight w:val="0"/>
      <w:marTop w:val="0"/>
      <w:marBottom w:val="0"/>
      <w:divBdr>
        <w:top w:val="none" w:sz="0" w:space="0" w:color="auto"/>
        <w:left w:val="none" w:sz="0" w:space="0" w:color="auto"/>
        <w:bottom w:val="none" w:sz="0" w:space="0" w:color="auto"/>
        <w:right w:val="none" w:sz="0" w:space="0" w:color="auto"/>
      </w:divBdr>
    </w:div>
    <w:div w:id="1515874750">
      <w:bodyDiv w:val="1"/>
      <w:marLeft w:val="0"/>
      <w:marRight w:val="0"/>
      <w:marTop w:val="0"/>
      <w:marBottom w:val="0"/>
      <w:divBdr>
        <w:top w:val="none" w:sz="0" w:space="0" w:color="auto"/>
        <w:left w:val="none" w:sz="0" w:space="0" w:color="auto"/>
        <w:bottom w:val="none" w:sz="0" w:space="0" w:color="auto"/>
        <w:right w:val="none" w:sz="0" w:space="0" w:color="auto"/>
      </w:divBdr>
    </w:div>
    <w:div w:id="1521359914">
      <w:bodyDiv w:val="1"/>
      <w:marLeft w:val="0"/>
      <w:marRight w:val="0"/>
      <w:marTop w:val="0"/>
      <w:marBottom w:val="0"/>
      <w:divBdr>
        <w:top w:val="none" w:sz="0" w:space="0" w:color="auto"/>
        <w:left w:val="none" w:sz="0" w:space="0" w:color="auto"/>
        <w:bottom w:val="none" w:sz="0" w:space="0" w:color="auto"/>
        <w:right w:val="none" w:sz="0" w:space="0" w:color="auto"/>
      </w:divBdr>
    </w:div>
    <w:div w:id="1526795178">
      <w:bodyDiv w:val="1"/>
      <w:marLeft w:val="0"/>
      <w:marRight w:val="0"/>
      <w:marTop w:val="0"/>
      <w:marBottom w:val="0"/>
      <w:divBdr>
        <w:top w:val="none" w:sz="0" w:space="0" w:color="auto"/>
        <w:left w:val="none" w:sz="0" w:space="0" w:color="auto"/>
        <w:bottom w:val="none" w:sz="0" w:space="0" w:color="auto"/>
        <w:right w:val="none" w:sz="0" w:space="0" w:color="auto"/>
      </w:divBdr>
    </w:div>
    <w:div w:id="1527645206">
      <w:bodyDiv w:val="1"/>
      <w:marLeft w:val="0"/>
      <w:marRight w:val="0"/>
      <w:marTop w:val="0"/>
      <w:marBottom w:val="0"/>
      <w:divBdr>
        <w:top w:val="none" w:sz="0" w:space="0" w:color="auto"/>
        <w:left w:val="none" w:sz="0" w:space="0" w:color="auto"/>
        <w:bottom w:val="none" w:sz="0" w:space="0" w:color="auto"/>
        <w:right w:val="none" w:sz="0" w:space="0" w:color="auto"/>
      </w:divBdr>
    </w:div>
    <w:div w:id="1530100650">
      <w:bodyDiv w:val="1"/>
      <w:marLeft w:val="0"/>
      <w:marRight w:val="0"/>
      <w:marTop w:val="0"/>
      <w:marBottom w:val="0"/>
      <w:divBdr>
        <w:top w:val="none" w:sz="0" w:space="0" w:color="auto"/>
        <w:left w:val="none" w:sz="0" w:space="0" w:color="auto"/>
        <w:bottom w:val="none" w:sz="0" w:space="0" w:color="auto"/>
        <w:right w:val="none" w:sz="0" w:space="0" w:color="auto"/>
      </w:divBdr>
    </w:div>
    <w:div w:id="1530602572">
      <w:bodyDiv w:val="1"/>
      <w:marLeft w:val="0"/>
      <w:marRight w:val="0"/>
      <w:marTop w:val="0"/>
      <w:marBottom w:val="0"/>
      <w:divBdr>
        <w:top w:val="none" w:sz="0" w:space="0" w:color="auto"/>
        <w:left w:val="none" w:sz="0" w:space="0" w:color="auto"/>
        <w:bottom w:val="none" w:sz="0" w:space="0" w:color="auto"/>
        <w:right w:val="none" w:sz="0" w:space="0" w:color="auto"/>
      </w:divBdr>
    </w:div>
    <w:div w:id="1530676775">
      <w:bodyDiv w:val="1"/>
      <w:marLeft w:val="0"/>
      <w:marRight w:val="0"/>
      <w:marTop w:val="0"/>
      <w:marBottom w:val="0"/>
      <w:divBdr>
        <w:top w:val="none" w:sz="0" w:space="0" w:color="auto"/>
        <w:left w:val="none" w:sz="0" w:space="0" w:color="auto"/>
        <w:bottom w:val="none" w:sz="0" w:space="0" w:color="auto"/>
        <w:right w:val="none" w:sz="0" w:space="0" w:color="auto"/>
      </w:divBdr>
    </w:div>
    <w:div w:id="1531260689">
      <w:bodyDiv w:val="1"/>
      <w:marLeft w:val="0"/>
      <w:marRight w:val="0"/>
      <w:marTop w:val="0"/>
      <w:marBottom w:val="0"/>
      <w:divBdr>
        <w:top w:val="none" w:sz="0" w:space="0" w:color="auto"/>
        <w:left w:val="none" w:sz="0" w:space="0" w:color="auto"/>
        <w:bottom w:val="none" w:sz="0" w:space="0" w:color="auto"/>
        <w:right w:val="none" w:sz="0" w:space="0" w:color="auto"/>
      </w:divBdr>
    </w:div>
    <w:div w:id="1533882073">
      <w:bodyDiv w:val="1"/>
      <w:marLeft w:val="0"/>
      <w:marRight w:val="0"/>
      <w:marTop w:val="0"/>
      <w:marBottom w:val="0"/>
      <w:divBdr>
        <w:top w:val="none" w:sz="0" w:space="0" w:color="auto"/>
        <w:left w:val="none" w:sz="0" w:space="0" w:color="auto"/>
        <w:bottom w:val="none" w:sz="0" w:space="0" w:color="auto"/>
        <w:right w:val="none" w:sz="0" w:space="0" w:color="auto"/>
      </w:divBdr>
    </w:div>
    <w:div w:id="1538657988">
      <w:bodyDiv w:val="1"/>
      <w:marLeft w:val="0"/>
      <w:marRight w:val="0"/>
      <w:marTop w:val="0"/>
      <w:marBottom w:val="0"/>
      <w:divBdr>
        <w:top w:val="none" w:sz="0" w:space="0" w:color="auto"/>
        <w:left w:val="none" w:sz="0" w:space="0" w:color="auto"/>
        <w:bottom w:val="none" w:sz="0" w:space="0" w:color="auto"/>
        <w:right w:val="none" w:sz="0" w:space="0" w:color="auto"/>
      </w:divBdr>
    </w:div>
    <w:div w:id="1542866134">
      <w:bodyDiv w:val="1"/>
      <w:marLeft w:val="0"/>
      <w:marRight w:val="0"/>
      <w:marTop w:val="0"/>
      <w:marBottom w:val="0"/>
      <w:divBdr>
        <w:top w:val="none" w:sz="0" w:space="0" w:color="auto"/>
        <w:left w:val="none" w:sz="0" w:space="0" w:color="auto"/>
        <w:bottom w:val="none" w:sz="0" w:space="0" w:color="auto"/>
        <w:right w:val="none" w:sz="0" w:space="0" w:color="auto"/>
      </w:divBdr>
    </w:div>
    <w:div w:id="1543176757">
      <w:bodyDiv w:val="1"/>
      <w:marLeft w:val="0"/>
      <w:marRight w:val="0"/>
      <w:marTop w:val="0"/>
      <w:marBottom w:val="0"/>
      <w:divBdr>
        <w:top w:val="none" w:sz="0" w:space="0" w:color="auto"/>
        <w:left w:val="none" w:sz="0" w:space="0" w:color="auto"/>
        <w:bottom w:val="none" w:sz="0" w:space="0" w:color="auto"/>
        <w:right w:val="none" w:sz="0" w:space="0" w:color="auto"/>
      </w:divBdr>
    </w:div>
    <w:div w:id="1543204170">
      <w:bodyDiv w:val="1"/>
      <w:marLeft w:val="0"/>
      <w:marRight w:val="0"/>
      <w:marTop w:val="0"/>
      <w:marBottom w:val="0"/>
      <w:divBdr>
        <w:top w:val="none" w:sz="0" w:space="0" w:color="auto"/>
        <w:left w:val="none" w:sz="0" w:space="0" w:color="auto"/>
        <w:bottom w:val="none" w:sz="0" w:space="0" w:color="auto"/>
        <w:right w:val="none" w:sz="0" w:space="0" w:color="auto"/>
      </w:divBdr>
    </w:div>
    <w:div w:id="1544555759">
      <w:bodyDiv w:val="1"/>
      <w:marLeft w:val="0"/>
      <w:marRight w:val="0"/>
      <w:marTop w:val="0"/>
      <w:marBottom w:val="0"/>
      <w:divBdr>
        <w:top w:val="none" w:sz="0" w:space="0" w:color="auto"/>
        <w:left w:val="none" w:sz="0" w:space="0" w:color="auto"/>
        <w:bottom w:val="none" w:sz="0" w:space="0" w:color="auto"/>
        <w:right w:val="none" w:sz="0" w:space="0" w:color="auto"/>
      </w:divBdr>
    </w:div>
    <w:div w:id="1544750102">
      <w:bodyDiv w:val="1"/>
      <w:marLeft w:val="0"/>
      <w:marRight w:val="0"/>
      <w:marTop w:val="0"/>
      <w:marBottom w:val="0"/>
      <w:divBdr>
        <w:top w:val="none" w:sz="0" w:space="0" w:color="auto"/>
        <w:left w:val="none" w:sz="0" w:space="0" w:color="auto"/>
        <w:bottom w:val="none" w:sz="0" w:space="0" w:color="auto"/>
        <w:right w:val="none" w:sz="0" w:space="0" w:color="auto"/>
      </w:divBdr>
    </w:div>
    <w:div w:id="1545554102">
      <w:bodyDiv w:val="1"/>
      <w:marLeft w:val="0"/>
      <w:marRight w:val="0"/>
      <w:marTop w:val="0"/>
      <w:marBottom w:val="0"/>
      <w:divBdr>
        <w:top w:val="none" w:sz="0" w:space="0" w:color="auto"/>
        <w:left w:val="none" w:sz="0" w:space="0" w:color="auto"/>
        <w:bottom w:val="none" w:sz="0" w:space="0" w:color="auto"/>
        <w:right w:val="none" w:sz="0" w:space="0" w:color="auto"/>
      </w:divBdr>
    </w:div>
    <w:div w:id="1551333852">
      <w:bodyDiv w:val="1"/>
      <w:marLeft w:val="0"/>
      <w:marRight w:val="0"/>
      <w:marTop w:val="0"/>
      <w:marBottom w:val="0"/>
      <w:divBdr>
        <w:top w:val="none" w:sz="0" w:space="0" w:color="auto"/>
        <w:left w:val="none" w:sz="0" w:space="0" w:color="auto"/>
        <w:bottom w:val="none" w:sz="0" w:space="0" w:color="auto"/>
        <w:right w:val="none" w:sz="0" w:space="0" w:color="auto"/>
      </w:divBdr>
    </w:div>
    <w:div w:id="1552958258">
      <w:bodyDiv w:val="1"/>
      <w:marLeft w:val="0"/>
      <w:marRight w:val="0"/>
      <w:marTop w:val="0"/>
      <w:marBottom w:val="0"/>
      <w:divBdr>
        <w:top w:val="none" w:sz="0" w:space="0" w:color="auto"/>
        <w:left w:val="none" w:sz="0" w:space="0" w:color="auto"/>
        <w:bottom w:val="none" w:sz="0" w:space="0" w:color="auto"/>
        <w:right w:val="none" w:sz="0" w:space="0" w:color="auto"/>
      </w:divBdr>
    </w:div>
    <w:div w:id="1556046669">
      <w:bodyDiv w:val="1"/>
      <w:marLeft w:val="0"/>
      <w:marRight w:val="0"/>
      <w:marTop w:val="0"/>
      <w:marBottom w:val="0"/>
      <w:divBdr>
        <w:top w:val="none" w:sz="0" w:space="0" w:color="auto"/>
        <w:left w:val="none" w:sz="0" w:space="0" w:color="auto"/>
        <w:bottom w:val="none" w:sz="0" w:space="0" w:color="auto"/>
        <w:right w:val="none" w:sz="0" w:space="0" w:color="auto"/>
      </w:divBdr>
    </w:div>
    <w:div w:id="1560550008">
      <w:bodyDiv w:val="1"/>
      <w:marLeft w:val="0"/>
      <w:marRight w:val="0"/>
      <w:marTop w:val="0"/>
      <w:marBottom w:val="0"/>
      <w:divBdr>
        <w:top w:val="none" w:sz="0" w:space="0" w:color="auto"/>
        <w:left w:val="none" w:sz="0" w:space="0" w:color="auto"/>
        <w:bottom w:val="none" w:sz="0" w:space="0" w:color="auto"/>
        <w:right w:val="none" w:sz="0" w:space="0" w:color="auto"/>
      </w:divBdr>
    </w:div>
    <w:div w:id="1564173161">
      <w:bodyDiv w:val="1"/>
      <w:marLeft w:val="0"/>
      <w:marRight w:val="0"/>
      <w:marTop w:val="0"/>
      <w:marBottom w:val="0"/>
      <w:divBdr>
        <w:top w:val="none" w:sz="0" w:space="0" w:color="auto"/>
        <w:left w:val="none" w:sz="0" w:space="0" w:color="auto"/>
        <w:bottom w:val="none" w:sz="0" w:space="0" w:color="auto"/>
        <w:right w:val="none" w:sz="0" w:space="0" w:color="auto"/>
      </w:divBdr>
    </w:div>
    <w:div w:id="1564828436">
      <w:bodyDiv w:val="1"/>
      <w:marLeft w:val="0"/>
      <w:marRight w:val="0"/>
      <w:marTop w:val="0"/>
      <w:marBottom w:val="0"/>
      <w:divBdr>
        <w:top w:val="none" w:sz="0" w:space="0" w:color="auto"/>
        <w:left w:val="none" w:sz="0" w:space="0" w:color="auto"/>
        <w:bottom w:val="none" w:sz="0" w:space="0" w:color="auto"/>
        <w:right w:val="none" w:sz="0" w:space="0" w:color="auto"/>
      </w:divBdr>
    </w:div>
    <w:div w:id="1567452415">
      <w:bodyDiv w:val="1"/>
      <w:marLeft w:val="0"/>
      <w:marRight w:val="0"/>
      <w:marTop w:val="0"/>
      <w:marBottom w:val="0"/>
      <w:divBdr>
        <w:top w:val="none" w:sz="0" w:space="0" w:color="auto"/>
        <w:left w:val="none" w:sz="0" w:space="0" w:color="auto"/>
        <w:bottom w:val="none" w:sz="0" w:space="0" w:color="auto"/>
        <w:right w:val="none" w:sz="0" w:space="0" w:color="auto"/>
      </w:divBdr>
    </w:div>
    <w:div w:id="1568956354">
      <w:bodyDiv w:val="1"/>
      <w:marLeft w:val="0"/>
      <w:marRight w:val="0"/>
      <w:marTop w:val="0"/>
      <w:marBottom w:val="0"/>
      <w:divBdr>
        <w:top w:val="none" w:sz="0" w:space="0" w:color="auto"/>
        <w:left w:val="none" w:sz="0" w:space="0" w:color="auto"/>
        <w:bottom w:val="none" w:sz="0" w:space="0" w:color="auto"/>
        <w:right w:val="none" w:sz="0" w:space="0" w:color="auto"/>
      </w:divBdr>
    </w:div>
    <w:div w:id="1570920171">
      <w:bodyDiv w:val="1"/>
      <w:marLeft w:val="0"/>
      <w:marRight w:val="0"/>
      <w:marTop w:val="0"/>
      <w:marBottom w:val="0"/>
      <w:divBdr>
        <w:top w:val="none" w:sz="0" w:space="0" w:color="auto"/>
        <w:left w:val="none" w:sz="0" w:space="0" w:color="auto"/>
        <w:bottom w:val="none" w:sz="0" w:space="0" w:color="auto"/>
        <w:right w:val="none" w:sz="0" w:space="0" w:color="auto"/>
      </w:divBdr>
    </w:div>
    <w:div w:id="1575314797">
      <w:bodyDiv w:val="1"/>
      <w:marLeft w:val="0"/>
      <w:marRight w:val="0"/>
      <w:marTop w:val="0"/>
      <w:marBottom w:val="0"/>
      <w:divBdr>
        <w:top w:val="none" w:sz="0" w:space="0" w:color="auto"/>
        <w:left w:val="none" w:sz="0" w:space="0" w:color="auto"/>
        <w:bottom w:val="none" w:sz="0" w:space="0" w:color="auto"/>
        <w:right w:val="none" w:sz="0" w:space="0" w:color="auto"/>
      </w:divBdr>
    </w:div>
    <w:div w:id="1576743759">
      <w:bodyDiv w:val="1"/>
      <w:marLeft w:val="0"/>
      <w:marRight w:val="0"/>
      <w:marTop w:val="0"/>
      <w:marBottom w:val="0"/>
      <w:divBdr>
        <w:top w:val="none" w:sz="0" w:space="0" w:color="auto"/>
        <w:left w:val="none" w:sz="0" w:space="0" w:color="auto"/>
        <w:bottom w:val="none" w:sz="0" w:space="0" w:color="auto"/>
        <w:right w:val="none" w:sz="0" w:space="0" w:color="auto"/>
      </w:divBdr>
    </w:div>
    <w:div w:id="1584223468">
      <w:bodyDiv w:val="1"/>
      <w:marLeft w:val="0"/>
      <w:marRight w:val="0"/>
      <w:marTop w:val="0"/>
      <w:marBottom w:val="0"/>
      <w:divBdr>
        <w:top w:val="none" w:sz="0" w:space="0" w:color="auto"/>
        <w:left w:val="none" w:sz="0" w:space="0" w:color="auto"/>
        <w:bottom w:val="none" w:sz="0" w:space="0" w:color="auto"/>
        <w:right w:val="none" w:sz="0" w:space="0" w:color="auto"/>
      </w:divBdr>
    </w:div>
    <w:div w:id="1584485855">
      <w:bodyDiv w:val="1"/>
      <w:marLeft w:val="0"/>
      <w:marRight w:val="0"/>
      <w:marTop w:val="0"/>
      <w:marBottom w:val="0"/>
      <w:divBdr>
        <w:top w:val="none" w:sz="0" w:space="0" w:color="auto"/>
        <w:left w:val="none" w:sz="0" w:space="0" w:color="auto"/>
        <w:bottom w:val="none" w:sz="0" w:space="0" w:color="auto"/>
        <w:right w:val="none" w:sz="0" w:space="0" w:color="auto"/>
      </w:divBdr>
    </w:div>
    <w:div w:id="1589578523">
      <w:bodyDiv w:val="1"/>
      <w:marLeft w:val="0"/>
      <w:marRight w:val="0"/>
      <w:marTop w:val="0"/>
      <w:marBottom w:val="0"/>
      <w:divBdr>
        <w:top w:val="none" w:sz="0" w:space="0" w:color="auto"/>
        <w:left w:val="none" w:sz="0" w:space="0" w:color="auto"/>
        <w:bottom w:val="none" w:sz="0" w:space="0" w:color="auto"/>
        <w:right w:val="none" w:sz="0" w:space="0" w:color="auto"/>
      </w:divBdr>
    </w:div>
    <w:div w:id="1593508263">
      <w:bodyDiv w:val="1"/>
      <w:marLeft w:val="0"/>
      <w:marRight w:val="0"/>
      <w:marTop w:val="0"/>
      <w:marBottom w:val="0"/>
      <w:divBdr>
        <w:top w:val="none" w:sz="0" w:space="0" w:color="auto"/>
        <w:left w:val="none" w:sz="0" w:space="0" w:color="auto"/>
        <w:bottom w:val="none" w:sz="0" w:space="0" w:color="auto"/>
        <w:right w:val="none" w:sz="0" w:space="0" w:color="auto"/>
      </w:divBdr>
    </w:div>
    <w:div w:id="1594506804">
      <w:bodyDiv w:val="1"/>
      <w:marLeft w:val="0"/>
      <w:marRight w:val="0"/>
      <w:marTop w:val="0"/>
      <w:marBottom w:val="0"/>
      <w:divBdr>
        <w:top w:val="none" w:sz="0" w:space="0" w:color="auto"/>
        <w:left w:val="none" w:sz="0" w:space="0" w:color="auto"/>
        <w:bottom w:val="none" w:sz="0" w:space="0" w:color="auto"/>
        <w:right w:val="none" w:sz="0" w:space="0" w:color="auto"/>
      </w:divBdr>
    </w:div>
    <w:div w:id="1599168030">
      <w:bodyDiv w:val="1"/>
      <w:marLeft w:val="0"/>
      <w:marRight w:val="0"/>
      <w:marTop w:val="0"/>
      <w:marBottom w:val="0"/>
      <w:divBdr>
        <w:top w:val="none" w:sz="0" w:space="0" w:color="auto"/>
        <w:left w:val="none" w:sz="0" w:space="0" w:color="auto"/>
        <w:bottom w:val="none" w:sz="0" w:space="0" w:color="auto"/>
        <w:right w:val="none" w:sz="0" w:space="0" w:color="auto"/>
      </w:divBdr>
    </w:div>
    <w:div w:id="1600718345">
      <w:bodyDiv w:val="1"/>
      <w:marLeft w:val="0"/>
      <w:marRight w:val="0"/>
      <w:marTop w:val="0"/>
      <w:marBottom w:val="0"/>
      <w:divBdr>
        <w:top w:val="none" w:sz="0" w:space="0" w:color="auto"/>
        <w:left w:val="none" w:sz="0" w:space="0" w:color="auto"/>
        <w:bottom w:val="none" w:sz="0" w:space="0" w:color="auto"/>
        <w:right w:val="none" w:sz="0" w:space="0" w:color="auto"/>
      </w:divBdr>
    </w:div>
    <w:div w:id="1601329580">
      <w:bodyDiv w:val="1"/>
      <w:marLeft w:val="0"/>
      <w:marRight w:val="0"/>
      <w:marTop w:val="0"/>
      <w:marBottom w:val="0"/>
      <w:divBdr>
        <w:top w:val="none" w:sz="0" w:space="0" w:color="auto"/>
        <w:left w:val="none" w:sz="0" w:space="0" w:color="auto"/>
        <w:bottom w:val="none" w:sz="0" w:space="0" w:color="auto"/>
        <w:right w:val="none" w:sz="0" w:space="0" w:color="auto"/>
      </w:divBdr>
    </w:div>
    <w:div w:id="1602372865">
      <w:bodyDiv w:val="1"/>
      <w:marLeft w:val="0"/>
      <w:marRight w:val="0"/>
      <w:marTop w:val="0"/>
      <w:marBottom w:val="0"/>
      <w:divBdr>
        <w:top w:val="none" w:sz="0" w:space="0" w:color="auto"/>
        <w:left w:val="none" w:sz="0" w:space="0" w:color="auto"/>
        <w:bottom w:val="none" w:sz="0" w:space="0" w:color="auto"/>
        <w:right w:val="none" w:sz="0" w:space="0" w:color="auto"/>
      </w:divBdr>
    </w:div>
    <w:div w:id="1606887850">
      <w:bodyDiv w:val="1"/>
      <w:marLeft w:val="0"/>
      <w:marRight w:val="0"/>
      <w:marTop w:val="0"/>
      <w:marBottom w:val="0"/>
      <w:divBdr>
        <w:top w:val="none" w:sz="0" w:space="0" w:color="auto"/>
        <w:left w:val="none" w:sz="0" w:space="0" w:color="auto"/>
        <w:bottom w:val="none" w:sz="0" w:space="0" w:color="auto"/>
        <w:right w:val="none" w:sz="0" w:space="0" w:color="auto"/>
      </w:divBdr>
    </w:div>
    <w:div w:id="1607930659">
      <w:bodyDiv w:val="1"/>
      <w:marLeft w:val="0"/>
      <w:marRight w:val="0"/>
      <w:marTop w:val="0"/>
      <w:marBottom w:val="0"/>
      <w:divBdr>
        <w:top w:val="none" w:sz="0" w:space="0" w:color="auto"/>
        <w:left w:val="none" w:sz="0" w:space="0" w:color="auto"/>
        <w:bottom w:val="none" w:sz="0" w:space="0" w:color="auto"/>
        <w:right w:val="none" w:sz="0" w:space="0" w:color="auto"/>
      </w:divBdr>
    </w:div>
    <w:div w:id="1608191089">
      <w:bodyDiv w:val="1"/>
      <w:marLeft w:val="0"/>
      <w:marRight w:val="0"/>
      <w:marTop w:val="0"/>
      <w:marBottom w:val="0"/>
      <w:divBdr>
        <w:top w:val="none" w:sz="0" w:space="0" w:color="auto"/>
        <w:left w:val="none" w:sz="0" w:space="0" w:color="auto"/>
        <w:bottom w:val="none" w:sz="0" w:space="0" w:color="auto"/>
        <w:right w:val="none" w:sz="0" w:space="0" w:color="auto"/>
      </w:divBdr>
    </w:div>
    <w:div w:id="1610236842">
      <w:bodyDiv w:val="1"/>
      <w:marLeft w:val="0"/>
      <w:marRight w:val="0"/>
      <w:marTop w:val="0"/>
      <w:marBottom w:val="0"/>
      <w:divBdr>
        <w:top w:val="none" w:sz="0" w:space="0" w:color="auto"/>
        <w:left w:val="none" w:sz="0" w:space="0" w:color="auto"/>
        <w:bottom w:val="none" w:sz="0" w:space="0" w:color="auto"/>
        <w:right w:val="none" w:sz="0" w:space="0" w:color="auto"/>
      </w:divBdr>
    </w:div>
    <w:div w:id="1611737708">
      <w:bodyDiv w:val="1"/>
      <w:marLeft w:val="0"/>
      <w:marRight w:val="0"/>
      <w:marTop w:val="0"/>
      <w:marBottom w:val="0"/>
      <w:divBdr>
        <w:top w:val="none" w:sz="0" w:space="0" w:color="auto"/>
        <w:left w:val="none" w:sz="0" w:space="0" w:color="auto"/>
        <w:bottom w:val="none" w:sz="0" w:space="0" w:color="auto"/>
        <w:right w:val="none" w:sz="0" w:space="0" w:color="auto"/>
      </w:divBdr>
    </w:div>
    <w:div w:id="1622300989">
      <w:bodyDiv w:val="1"/>
      <w:marLeft w:val="0"/>
      <w:marRight w:val="0"/>
      <w:marTop w:val="0"/>
      <w:marBottom w:val="0"/>
      <w:divBdr>
        <w:top w:val="none" w:sz="0" w:space="0" w:color="auto"/>
        <w:left w:val="none" w:sz="0" w:space="0" w:color="auto"/>
        <w:bottom w:val="none" w:sz="0" w:space="0" w:color="auto"/>
        <w:right w:val="none" w:sz="0" w:space="0" w:color="auto"/>
      </w:divBdr>
    </w:div>
    <w:div w:id="1626302837">
      <w:bodyDiv w:val="1"/>
      <w:marLeft w:val="0"/>
      <w:marRight w:val="0"/>
      <w:marTop w:val="0"/>
      <w:marBottom w:val="0"/>
      <w:divBdr>
        <w:top w:val="none" w:sz="0" w:space="0" w:color="auto"/>
        <w:left w:val="none" w:sz="0" w:space="0" w:color="auto"/>
        <w:bottom w:val="none" w:sz="0" w:space="0" w:color="auto"/>
        <w:right w:val="none" w:sz="0" w:space="0" w:color="auto"/>
      </w:divBdr>
    </w:div>
    <w:div w:id="1627083663">
      <w:bodyDiv w:val="1"/>
      <w:marLeft w:val="0"/>
      <w:marRight w:val="0"/>
      <w:marTop w:val="0"/>
      <w:marBottom w:val="0"/>
      <w:divBdr>
        <w:top w:val="none" w:sz="0" w:space="0" w:color="auto"/>
        <w:left w:val="none" w:sz="0" w:space="0" w:color="auto"/>
        <w:bottom w:val="none" w:sz="0" w:space="0" w:color="auto"/>
        <w:right w:val="none" w:sz="0" w:space="0" w:color="auto"/>
      </w:divBdr>
    </w:div>
    <w:div w:id="1631940233">
      <w:bodyDiv w:val="1"/>
      <w:marLeft w:val="0"/>
      <w:marRight w:val="0"/>
      <w:marTop w:val="0"/>
      <w:marBottom w:val="0"/>
      <w:divBdr>
        <w:top w:val="none" w:sz="0" w:space="0" w:color="auto"/>
        <w:left w:val="none" w:sz="0" w:space="0" w:color="auto"/>
        <w:bottom w:val="none" w:sz="0" w:space="0" w:color="auto"/>
        <w:right w:val="none" w:sz="0" w:space="0" w:color="auto"/>
      </w:divBdr>
    </w:div>
    <w:div w:id="1632592556">
      <w:bodyDiv w:val="1"/>
      <w:marLeft w:val="0"/>
      <w:marRight w:val="0"/>
      <w:marTop w:val="0"/>
      <w:marBottom w:val="0"/>
      <w:divBdr>
        <w:top w:val="none" w:sz="0" w:space="0" w:color="auto"/>
        <w:left w:val="none" w:sz="0" w:space="0" w:color="auto"/>
        <w:bottom w:val="none" w:sz="0" w:space="0" w:color="auto"/>
        <w:right w:val="none" w:sz="0" w:space="0" w:color="auto"/>
      </w:divBdr>
    </w:div>
    <w:div w:id="1634292404">
      <w:bodyDiv w:val="1"/>
      <w:marLeft w:val="0"/>
      <w:marRight w:val="0"/>
      <w:marTop w:val="0"/>
      <w:marBottom w:val="0"/>
      <w:divBdr>
        <w:top w:val="none" w:sz="0" w:space="0" w:color="auto"/>
        <w:left w:val="none" w:sz="0" w:space="0" w:color="auto"/>
        <w:bottom w:val="none" w:sz="0" w:space="0" w:color="auto"/>
        <w:right w:val="none" w:sz="0" w:space="0" w:color="auto"/>
      </w:divBdr>
    </w:div>
    <w:div w:id="1635938768">
      <w:bodyDiv w:val="1"/>
      <w:marLeft w:val="0"/>
      <w:marRight w:val="0"/>
      <w:marTop w:val="0"/>
      <w:marBottom w:val="0"/>
      <w:divBdr>
        <w:top w:val="none" w:sz="0" w:space="0" w:color="auto"/>
        <w:left w:val="none" w:sz="0" w:space="0" w:color="auto"/>
        <w:bottom w:val="none" w:sz="0" w:space="0" w:color="auto"/>
        <w:right w:val="none" w:sz="0" w:space="0" w:color="auto"/>
      </w:divBdr>
    </w:div>
    <w:div w:id="1636526893">
      <w:bodyDiv w:val="1"/>
      <w:marLeft w:val="0"/>
      <w:marRight w:val="0"/>
      <w:marTop w:val="0"/>
      <w:marBottom w:val="0"/>
      <w:divBdr>
        <w:top w:val="none" w:sz="0" w:space="0" w:color="auto"/>
        <w:left w:val="none" w:sz="0" w:space="0" w:color="auto"/>
        <w:bottom w:val="none" w:sz="0" w:space="0" w:color="auto"/>
        <w:right w:val="none" w:sz="0" w:space="0" w:color="auto"/>
      </w:divBdr>
    </w:div>
    <w:div w:id="1636836634">
      <w:bodyDiv w:val="1"/>
      <w:marLeft w:val="0"/>
      <w:marRight w:val="0"/>
      <w:marTop w:val="0"/>
      <w:marBottom w:val="0"/>
      <w:divBdr>
        <w:top w:val="none" w:sz="0" w:space="0" w:color="auto"/>
        <w:left w:val="none" w:sz="0" w:space="0" w:color="auto"/>
        <w:bottom w:val="none" w:sz="0" w:space="0" w:color="auto"/>
        <w:right w:val="none" w:sz="0" w:space="0" w:color="auto"/>
      </w:divBdr>
    </w:div>
    <w:div w:id="1637757823">
      <w:bodyDiv w:val="1"/>
      <w:marLeft w:val="0"/>
      <w:marRight w:val="0"/>
      <w:marTop w:val="0"/>
      <w:marBottom w:val="0"/>
      <w:divBdr>
        <w:top w:val="none" w:sz="0" w:space="0" w:color="auto"/>
        <w:left w:val="none" w:sz="0" w:space="0" w:color="auto"/>
        <w:bottom w:val="none" w:sz="0" w:space="0" w:color="auto"/>
        <w:right w:val="none" w:sz="0" w:space="0" w:color="auto"/>
      </w:divBdr>
    </w:div>
    <w:div w:id="1640726003">
      <w:bodyDiv w:val="1"/>
      <w:marLeft w:val="0"/>
      <w:marRight w:val="0"/>
      <w:marTop w:val="0"/>
      <w:marBottom w:val="0"/>
      <w:divBdr>
        <w:top w:val="none" w:sz="0" w:space="0" w:color="auto"/>
        <w:left w:val="none" w:sz="0" w:space="0" w:color="auto"/>
        <w:bottom w:val="none" w:sz="0" w:space="0" w:color="auto"/>
        <w:right w:val="none" w:sz="0" w:space="0" w:color="auto"/>
      </w:divBdr>
    </w:div>
    <w:div w:id="1642533846">
      <w:bodyDiv w:val="1"/>
      <w:marLeft w:val="0"/>
      <w:marRight w:val="0"/>
      <w:marTop w:val="0"/>
      <w:marBottom w:val="0"/>
      <w:divBdr>
        <w:top w:val="none" w:sz="0" w:space="0" w:color="auto"/>
        <w:left w:val="none" w:sz="0" w:space="0" w:color="auto"/>
        <w:bottom w:val="none" w:sz="0" w:space="0" w:color="auto"/>
        <w:right w:val="none" w:sz="0" w:space="0" w:color="auto"/>
      </w:divBdr>
    </w:div>
    <w:div w:id="1647004855">
      <w:bodyDiv w:val="1"/>
      <w:marLeft w:val="0"/>
      <w:marRight w:val="0"/>
      <w:marTop w:val="0"/>
      <w:marBottom w:val="0"/>
      <w:divBdr>
        <w:top w:val="none" w:sz="0" w:space="0" w:color="auto"/>
        <w:left w:val="none" w:sz="0" w:space="0" w:color="auto"/>
        <w:bottom w:val="none" w:sz="0" w:space="0" w:color="auto"/>
        <w:right w:val="none" w:sz="0" w:space="0" w:color="auto"/>
      </w:divBdr>
    </w:div>
    <w:div w:id="1650590433">
      <w:bodyDiv w:val="1"/>
      <w:marLeft w:val="0"/>
      <w:marRight w:val="0"/>
      <w:marTop w:val="0"/>
      <w:marBottom w:val="0"/>
      <w:divBdr>
        <w:top w:val="none" w:sz="0" w:space="0" w:color="auto"/>
        <w:left w:val="none" w:sz="0" w:space="0" w:color="auto"/>
        <w:bottom w:val="none" w:sz="0" w:space="0" w:color="auto"/>
        <w:right w:val="none" w:sz="0" w:space="0" w:color="auto"/>
      </w:divBdr>
    </w:div>
    <w:div w:id="1651863203">
      <w:bodyDiv w:val="1"/>
      <w:marLeft w:val="0"/>
      <w:marRight w:val="0"/>
      <w:marTop w:val="0"/>
      <w:marBottom w:val="0"/>
      <w:divBdr>
        <w:top w:val="none" w:sz="0" w:space="0" w:color="auto"/>
        <w:left w:val="none" w:sz="0" w:space="0" w:color="auto"/>
        <w:bottom w:val="none" w:sz="0" w:space="0" w:color="auto"/>
        <w:right w:val="none" w:sz="0" w:space="0" w:color="auto"/>
      </w:divBdr>
    </w:div>
    <w:div w:id="1651907481">
      <w:bodyDiv w:val="1"/>
      <w:marLeft w:val="0"/>
      <w:marRight w:val="0"/>
      <w:marTop w:val="0"/>
      <w:marBottom w:val="0"/>
      <w:divBdr>
        <w:top w:val="none" w:sz="0" w:space="0" w:color="auto"/>
        <w:left w:val="none" w:sz="0" w:space="0" w:color="auto"/>
        <w:bottom w:val="none" w:sz="0" w:space="0" w:color="auto"/>
        <w:right w:val="none" w:sz="0" w:space="0" w:color="auto"/>
      </w:divBdr>
    </w:div>
    <w:div w:id="1652172663">
      <w:bodyDiv w:val="1"/>
      <w:marLeft w:val="0"/>
      <w:marRight w:val="0"/>
      <w:marTop w:val="0"/>
      <w:marBottom w:val="0"/>
      <w:divBdr>
        <w:top w:val="none" w:sz="0" w:space="0" w:color="auto"/>
        <w:left w:val="none" w:sz="0" w:space="0" w:color="auto"/>
        <w:bottom w:val="none" w:sz="0" w:space="0" w:color="auto"/>
        <w:right w:val="none" w:sz="0" w:space="0" w:color="auto"/>
      </w:divBdr>
    </w:div>
    <w:div w:id="1653558450">
      <w:bodyDiv w:val="1"/>
      <w:marLeft w:val="0"/>
      <w:marRight w:val="0"/>
      <w:marTop w:val="0"/>
      <w:marBottom w:val="0"/>
      <w:divBdr>
        <w:top w:val="none" w:sz="0" w:space="0" w:color="auto"/>
        <w:left w:val="none" w:sz="0" w:space="0" w:color="auto"/>
        <w:bottom w:val="none" w:sz="0" w:space="0" w:color="auto"/>
        <w:right w:val="none" w:sz="0" w:space="0" w:color="auto"/>
      </w:divBdr>
    </w:div>
    <w:div w:id="1653951003">
      <w:bodyDiv w:val="1"/>
      <w:marLeft w:val="0"/>
      <w:marRight w:val="0"/>
      <w:marTop w:val="0"/>
      <w:marBottom w:val="0"/>
      <w:divBdr>
        <w:top w:val="none" w:sz="0" w:space="0" w:color="auto"/>
        <w:left w:val="none" w:sz="0" w:space="0" w:color="auto"/>
        <w:bottom w:val="none" w:sz="0" w:space="0" w:color="auto"/>
        <w:right w:val="none" w:sz="0" w:space="0" w:color="auto"/>
      </w:divBdr>
    </w:div>
    <w:div w:id="1654411542">
      <w:bodyDiv w:val="1"/>
      <w:marLeft w:val="0"/>
      <w:marRight w:val="0"/>
      <w:marTop w:val="0"/>
      <w:marBottom w:val="0"/>
      <w:divBdr>
        <w:top w:val="none" w:sz="0" w:space="0" w:color="auto"/>
        <w:left w:val="none" w:sz="0" w:space="0" w:color="auto"/>
        <w:bottom w:val="none" w:sz="0" w:space="0" w:color="auto"/>
        <w:right w:val="none" w:sz="0" w:space="0" w:color="auto"/>
      </w:divBdr>
    </w:div>
    <w:div w:id="1656686732">
      <w:bodyDiv w:val="1"/>
      <w:marLeft w:val="0"/>
      <w:marRight w:val="0"/>
      <w:marTop w:val="0"/>
      <w:marBottom w:val="0"/>
      <w:divBdr>
        <w:top w:val="none" w:sz="0" w:space="0" w:color="auto"/>
        <w:left w:val="none" w:sz="0" w:space="0" w:color="auto"/>
        <w:bottom w:val="none" w:sz="0" w:space="0" w:color="auto"/>
        <w:right w:val="none" w:sz="0" w:space="0" w:color="auto"/>
      </w:divBdr>
    </w:div>
    <w:div w:id="1657875356">
      <w:bodyDiv w:val="1"/>
      <w:marLeft w:val="0"/>
      <w:marRight w:val="0"/>
      <w:marTop w:val="0"/>
      <w:marBottom w:val="0"/>
      <w:divBdr>
        <w:top w:val="none" w:sz="0" w:space="0" w:color="auto"/>
        <w:left w:val="none" w:sz="0" w:space="0" w:color="auto"/>
        <w:bottom w:val="none" w:sz="0" w:space="0" w:color="auto"/>
        <w:right w:val="none" w:sz="0" w:space="0" w:color="auto"/>
      </w:divBdr>
    </w:div>
    <w:div w:id="1659383911">
      <w:bodyDiv w:val="1"/>
      <w:marLeft w:val="0"/>
      <w:marRight w:val="0"/>
      <w:marTop w:val="0"/>
      <w:marBottom w:val="0"/>
      <w:divBdr>
        <w:top w:val="none" w:sz="0" w:space="0" w:color="auto"/>
        <w:left w:val="none" w:sz="0" w:space="0" w:color="auto"/>
        <w:bottom w:val="none" w:sz="0" w:space="0" w:color="auto"/>
        <w:right w:val="none" w:sz="0" w:space="0" w:color="auto"/>
      </w:divBdr>
    </w:div>
    <w:div w:id="1661035838">
      <w:bodyDiv w:val="1"/>
      <w:marLeft w:val="0"/>
      <w:marRight w:val="0"/>
      <w:marTop w:val="0"/>
      <w:marBottom w:val="0"/>
      <w:divBdr>
        <w:top w:val="none" w:sz="0" w:space="0" w:color="auto"/>
        <w:left w:val="none" w:sz="0" w:space="0" w:color="auto"/>
        <w:bottom w:val="none" w:sz="0" w:space="0" w:color="auto"/>
        <w:right w:val="none" w:sz="0" w:space="0" w:color="auto"/>
      </w:divBdr>
    </w:div>
    <w:div w:id="1666200820">
      <w:bodyDiv w:val="1"/>
      <w:marLeft w:val="0"/>
      <w:marRight w:val="0"/>
      <w:marTop w:val="0"/>
      <w:marBottom w:val="0"/>
      <w:divBdr>
        <w:top w:val="none" w:sz="0" w:space="0" w:color="auto"/>
        <w:left w:val="none" w:sz="0" w:space="0" w:color="auto"/>
        <w:bottom w:val="none" w:sz="0" w:space="0" w:color="auto"/>
        <w:right w:val="none" w:sz="0" w:space="0" w:color="auto"/>
      </w:divBdr>
    </w:div>
    <w:div w:id="1671253406">
      <w:bodyDiv w:val="1"/>
      <w:marLeft w:val="0"/>
      <w:marRight w:val="0"/>
      <w:marTop w:val="0"/>
      <w:marBottom w:val="0"/>
      <w:divBdr>
        <w:top w:val="none" w:sz="0" w:space="0" w:color="auto"/>
        <w:left w:val="none" w:sz="0" w:space="0" w:color="auto"/>
        <w:bottom w:val="none" w:sz="0" w:space="0" w:color="auto"/>
        <w:right w:val="none" w:sz="0" w:space="0" w:color="auto"/>
      </w:divBdr>
    </w:div>
    <w:div w:id="1674607782">
      <w:bodyDiv w:val="1"/>
      <w:marLeft w:val="0"/>
      <w:marRight w:val="0"/>
      <w:marTop w:val="0"/>
      <w:marBottom w:val="0"/>
      <w:divBdr>
        <w:top w:val="none" w:sz="0" w:space="0" w:color="auto"/>
        <w:left w:val="none" w:sz="0" w:space="0" w:color="auto"/>
        <w:bottom w:val="none" w:sz="0" w:space="0" w:color="auto"/>
        <w:right w:val="none" w:sz="0" w:space="0" w:color="auto"/>
      </w:divBdr>
    </w:div>
    <w:div w:id="1674642769">
      <w:bodyDiv w:val="1"/>
      <w:marLeft w:val="0"/>
      <w:marRight w:val="0"/>
      <w:marTop w:val="0"/>
      <w:marBottom w:val="0"/>
      <w:divBdr>
        <w:top w:val="none" w:sz="0" w:space="0" w:color="auto"/>
        <w:left w:val="none" w:sz="0" w:space="0" w:color="auto"/>
        <w:bottom w:val="none" w:sz="0" w:space="0" w:color="auto"/>
        <w:right w:val="none" w:sz="0" w:space="0" w:color="auto"/>
      </w:divBdr>
    </w:div>
    <w:div w:id="1675179219">
      <w:bodyDiv w:val="1"/>
      <w:marLeft w:val="0"/>
      <w:marRight w:val="0"/>
      <w:marTop w:val="0"/>
      <w:marBottom w:val="0"/>
      <w:divBdr>
        <w:top w:val="none" w:sz="0" w:space="0" w:color="auto"/>
        <w:left w:val="none" w:sz="0" w:space="0" w:color="auto"/>
        <w:bottom w:val="none" w:sz="0" w:space="0" w:color="auto"/>
        <w:right w:val="none" w:sz="0" w:space="0" w:color="auto"/>
      </w:divBdr>
    </w:div>
    <w:div w:id="1675952832">
      <w:bodyDiv w:val="1"/>
      <w:marLeft w:val="0"/>
      <w:marRight w:val="0"/>
      <w:marTop w:val="0"/>
      <w:marBottom w:val="0"/>
      <w:divBdr>
        <w:top w:val="none" w:sz="0" w:space="0" w:color="auto"/>
        <w:left w:val="none" w:sz="0" w:space="0" w:color="auto"/>
        <w:bottom w:val="none" w:sz="0" w:space="0" w:color="auto"/>
        <w:right w:val="none" w:sz="0" w:space="0" w:color="auto"/>
      </w:divBdr>
    </w:div>
    <w:div w:id="1676612233">
      <w:bodyDiv w:val="1"/>
      <w:marLeft w:val="0"/>
      <w:marRight w:val="0"/>
      <w:marTop w:val="0"/>
      <w:marBottom w:val="0"/>
      <w:divBdr>
        <w:top w:val="none" w:sz="0" w:space="0" w:color="auto"/>
        <w:left w:val="none" w:sz="0" w:space="0" w:color="auto"/>
        <w:bottom w:val="none" w:sz="0" w:space="0" w:color="auto"/>
        <w:right w:val="none" w:sz="0" w:space="0" w:color="auto"/>
      </w:divBdr>
    </w:div>
    <w:div w:id="1684554640">
      <w:bodyDiv w:val="1"/>
      <w:marLeft w:val="0"/>
      <w:marRight w:val="0"/>
      <w:marTop w:val="0"/>
      <w:marBottom w:val="0"/>
      <w:divBdr>
        <w:top w:val="none" w:sz="0" w:space="0" w:color="auto"/>
        <w:left w:val="none" w:sz="0" w:space="0" w:color="auto"/>
        <w:bottom w:val="none" w:sz="0" w:space="0" w:color="auto"/>
        <w:right w:val="none" w:sz="0" w:space="0" w:color="auto"/>
      </w:divBdr>
    </w:div>
    <w:div w:id="1686832047">
      <w:bodyDiv w:val="1"/>
      <w:marLeft w:val="0"/>
      <w:marRight w:val="0"/>
      <w:marTop w:val="0"/>
      <w:marBottom w:val="0"/>
      <w:divBdr>
        <w:top w:val="none" w:sz="0" w:space="0" w:color="auto"/>
        <w:left w:val="none" w:sz="0" w:space="0" w:color="auto"/>
        <w:bottom w:val="none" w:sz="0" w:space="0" w:color="auto"/>
        <w:right w:val="none" w:sz="0" w:space="0" w:color="auto"/>
      </w:divBdr>
    </w:div>
    <w:div w:id="1693263308">
      <w:bodyDiv w:val="1"/>
      <w:marLeft w:val="0"/>
      <w:marRight w:val="0"/>
      <w:marTop w:val="0"/>
      <w:marBottom w:val="0"/>
      <w:divBdr>
        <w:top w:val="none" w:sz="0" w:space="0" w:color="auto"/>
        <w:left w:val="none" w:sz="0" w:space="0" w:color="auto"/>
        <w:bottom w:val="none" w:sz="0" w:space="0" w:color="auto"/>
        <w:right w:val="none" w:sz="0" w:space="0" w:color="auto"/>
      </w:divBdr>
    </w:div>
    <w:div w:id="1693921707">
      <w:bodyDiv w:val="1"/>
      <w:marLeft w:val="0"/>
      <w:marRight w:val="0"/>
      <w:marTop w:val="0"/>
      <w:marBottom w:val="0"/>
      <w:divBdr>
        <w:top w:val="none" w:sz="0" w:space="0" w:color="auto"/>
        <w:left w:val="none" w:sz="0" w:space="0" w:color="auto"/>
        <w:bottom w:val="none" w:sz="0" w:space="0" w:color="auto"/>
        <w:right w:val="none" w:sz="0" w:space="0" w:color="auto"/>
      </w:divBdr>
    </w:div>
    <w:div w:id="1697541808">
      <w:bodyDiv w:val="1"/>
      <w:marLeft w:val="0"/>
      <w:marRight w:val="0"/>
      <w:marTop w:val="0"/>
      <w:marBottom w:val="0"/>
      <w:divBdr>
        <w:top w:val="none" w:sz="0" w:space="0" w:color="auto"/>
        <w:left w:val="none" w:sz="0" w:space="0" w:color="auto"/>
        <w:bottom w:val="none" w:sz="0" w:space="0" w:color="auto"/>
        <w:right w:val="none" w:sz="0" w:space="0" w:color="auto"/>
      </w:divBdr>
    </w:div>
    <w:div w:id="1697806677">
      <w:bodyDiv w:val="1"/>
      <w:marLeft w:val="0"/>
      <w:marRight w:val="0"/>
      <w:marTop w:val="0"/>
      <w:marBottom w:val="0"/>
      <w:divBdr>
        <w:top w:val="none" w:sz="0" w:space="0" w:color="auto"/>
        <w:left w:val="none" w:sz="0" w:space="0" w:color="auto"/>
        <w:bottom w:val="none" w:sz="0" w:space="0" w:color="auto"/>
        <w:right w:val="none" w:sz="0" w:space="0" w:color="auto"/>
      </w:divBdr>
    </w:div>
    <w:div w:id="1698116338">
      <w:bodyDiv w:val="1"/>
      <w:marLeft w:val="0"/>
      <w:marRight w:val="0"/>
      <w:marTop w:val="0"/>
      <w:marBottom w:val="0"/>
      <w:divBdr>
        <w:top w:val="none" w:sz="0" w:space="0" w:color="auto"/>
        <w:left w:val="none" w:sz="0" w:space="0" w:color="auto"/>
        <w:bottom w:val="none" w:sz="0" w:space="0" w:color="auto"/>
        <w:right w:val="none" w:sz="0" w:space="0" w:color="auto"/>
      </w:divBdr>
    </w:div>
    <w:div w:id="1699041259">
      <w:bodyDiv w:val="1"/>
      <w:marLeft w:val="0"/>
      <w:marRight w:val="0"/>
      <w:marTop w:val="0"/>
      <w:marBottom w:val="0"/>
      <w:divBdr>
        <w:top w:val="none" w:sz="0" w:space="0" w:color="auto"/>
        <w:left w:val="none" w:sz="0" w:space="0" w:color="auto"/>
        <w:bottom w:val="none" w:sz="0" w:space="0" w:color="auto"/>
        <w:right w:val="none" w:sz="0" w:space="0" w:color="auto"/>
      </w:divBdr>
    </w:div>
    <w:div w:id="1700468383">
      <w:bodyDiv w:val="1"/>
      <w:marLeft w:val="0"/>
      <w:marRight w:val="0"/>
      <w:marTop w:val="0"/>
      <w:marBottom w:val="0"/>
      <w:divBdr>
        <w:top w:val="none" w:sz="0" w:space="0" w:color="auto"/>
        <w:left w:val="none" w:sz="0" w:space="0" w:color="auto"/>
        <w:bottom w:val="none" w:sz="0" w:space="0" w:color="auto"/>
        <w:right w:val="none" w:sz="0" w:space="0" w:color="auto"/>
      </w:divBdr>
    </w:div>
    <w:div w:id="1701979427">
      <w:bodyDiv w:val="1"/>
      <w:marLeft w:val="0"/>
      <w:marRight w:val="0"/>
      <w:marTop w:val="0"/>
      <w:marBottom w:val="0"/>
      <w:divBdr>
        <w:top w:val="none" w:sz="0" w:space="0" w:color="auto"/>
        <w:left w:val="none" w:sz="0" w:space="0" w:color="auto"/>
        <w:bottom w:val="none" w:sz="0" w:space="0" w:color="auto"/>
        <w:right w:val="none" w:sz="0" w:space="0" w:color="auto"/>
      </w:divBdr>
    </w:div>
    <w:div w:id="1702710319">
      <w:bodyDiv w:val="1"/>
      <w:marLeft w:val="0"/>
      <w:marRight w:val="0"/>
      <w:marTop w:val="0"/>
      <w:marBottom w:val="0"/>
      <w:divBdr>
        <w:top w:val="none" w:sz="0" w:space="0" w:color="auto"/>
        <w:left w:val="none" w:sz="0" w:space="0" w:color="auto"/>
        <w:bottom w:val="none" w:sz="0" w:space="0" w:color="auto"/>
        <w:right w:val="none" w:sz="0" w:space="0" w:color="auto"/>
      </w:divBdr>
    </w:div>
    <w:div w:id="1703675292">
      <w:bodyDiv w:val="1"/>
      <w:marLeft w:val="0"/>
      <w:marRight w:val="0"/>
      <w:marTop w:val="0"/>
      <w:marBottom w:val="0"/>
      <w:divBdr>
        <w:top w:val="none" w:sz="0" w:space="0" w:color="auto"/>
        <w:left w:val="none" w:sz="0" w:space="0" w:color="auto"/>
        <w:bottom w:val="none" w:sz="0" w:space="0" w:color="auto"/>
        <w:right w:val="none" w:sz="0" w:space="0" w:color="auto"/>
      </w:divBdr>
    </w:div>
    <w:div w:id="1708096026">
      <w:bodyDiv w:val="1"/>
      <w:marLeft w:val="0"/>
      <w:marRight w:val="0"/>
      <w:marTop w:val="0"/>
      <w:marBottom w:val="0"/>
      <w:divBdr>
        <w:top w:val="none" w:sz="0" w:space="0" w:color="auto"/>
        <w:left w:val="none" w:sz="0" w:space="0" w:color="auto"/>
        <w:bottom w:val="none" w:sz="0" w:space="0" w:color="auto"/>
        <w:right w:val="none" w:sz="0" w:space="0" w:color="auto"/>
      </w:divBdr>
    </w:div>
    <w:div w:id="1711027807">
      <w:bodyDiv w:val="1"/>
      <w:marLeft w:val="0"/>
      <w:marRight w:val="0"/>
      <w:marTop w:val="0"/>
      <w:marBottom w:val="0"/>
      <w:divBdr>
        <w:top w:val="none" w:sz="0" w:space="0" w:color="auto"/>
        <w:left w:val="none" w:sz="0" w:space="0" w:color="auto"/>
        <w:bottom w:val="none" w:sz="0" w:space="0" w:color="auto"/>
        <w:right w:val="none" w:sz="0" w:space="0" w:color="auto"/>
      </w:divBdr>
    </w:div>
    <w:div w:id="1711756975">
      <w:bodyDiv w:val="1"/>
      <w:marLeft w:val="0"/>
      <w:marRight w:val="0"/>
      <w:marTop w:val="0"/>
      <w:marBottom w:val="0"/>
      <w:divBdr>
        <w:top w:val="none" w:sz="0" w:space="0" w:color="auto"/>
        <w:left w:val="none" w:sz="0" w:space="0" w:color="auto"/>
        <w:bottom w:val="none" w:sz="0" w:space="0" w:color="auto"/>
        <w:right w:val="none" w:sz="0" w:space="0" w:color="auto"/>
      </w:divBdr>
    </w:div>
    <w:div w:id="1713113159">
      <w:bodyDiv w:val="1"/>
      <w:marLeft w:val="0"/>
      <w:marRight w:val="0"/>
      <w:marTop w:val="0"/>
      <w:marBottom w:val="0"/>
      <w:divBdr>
        <w:top w:val="none" w:sz="0" w:space="0" w:color="auto"/>
        <w:left w:val="none" w:sz="0" w:space="0" w:color="auto"/>
        <w:bottom w:val="none" w:sz="0" w:space="0" w:color="auto"/>
        <w:right w:val="none" w:sz="0" w:space="0" w:color="auto"/>
      </w:divBdr>
    </w:div>
    <w:div w:id="1713187179">
      <w:bodyDiv w:val="1"/>
      <w:marLeft w:val="0"/>
      <w:marRight w:val="0"/>
      <w:marTop w:val="0"/>
      <w:marBottom w:val="0"/>
      <w:divBdr>
        <w:top w:val="none" w:sz="0" w:space="0" w:color="auto"/>
        <w:left w:val="none" w:sz="0" w:space="0" w:color="auto"/>
        <w:bottom w:val="none" w:sz="0" w:space="0" w:color="auto"/>
        <w:right w:val="none" w:sz="0" w:space="0" w:color="auto"/>
      </w:divBdr>
    </w:div>
    <w:div w:id="1714118282">
      <w:bodyDiv w:val="1"/>
      <w:marLeft w:val="0"/>
      <w:marRight w:val="0"/>
      <w:marTop w:val="0"/>
      <w:marBottom w:val="0"/>
      <w:divBdr>
        <w:top w:val="none" w:sz="0" w:space="0" w:color="auto"/>
        <w:left w:val="none" w:sz="0" w:space="0" w:color="auto"/>
        <w:bottom w:val="none" w:sz="0" w:space="0" w:color="auto"/>
        <w:right w:val="none" w:sz="0" w:space="0" w:color="auto"/>
      </w:divBdr>
    </w:div>
    <w:div w:id="1715807564">
      <w:bodyDiv w:val="1"/>
      <w:marLeft w:val="0"/>
      <w:marRight w:val="0"/>
      <w:marTop w:val="0"/>
      <w:marBottom w:val="0"/>
      <w:divBdr>
        <w:top w:val="none" w:sz="0" w:space="0" w:color="auto"/>
        <w:left w:val="none" w:sz="0" w:space="0" w:color="auto"/>
        <w:bottom w:val="none" w:sz="0" w:space="0" w:color="auto"/>
        <w:right w:val="none" w:sz="0" w:space="0" w:color="auto"/>
      </w:divBdr>
    </w:div>
    <w:div w:id="1718820959">
      <w:bodyDiv w:val="1"/>
      <w:marLeft w:val="0"/>
      <w:marRight w:val="0"/>
      <w:marTop w:val="0"/>
      <w:marBottom w:val="0"/>
      <w:divBdr>
        <w:top w:val="none" w:sz="0" w:space="0" w:color="auto"/>
        <w:left w:val="none" w:sz="0" w:space="0" w:color="auto"/>
        <w:bottom w:val="none" w:sz="0" w:space="0" w:color="auto"/>
        <w:right w:val="none" w:sz="0" w:space="0" w:color="auto"/>
      </w:divBdr>
    </w:div>
    <w:div w:id="1722747525">
      <w:bodyDiv w:val="1"/>
      <w:marLeft w:val="0"/>
      <w:marRight w:val="0"/>
      <w:marTop w:val="0"/>
      <w:marBottom w:val="0"/>
      <w:divBdr>
        <w:top w:val="none" w:sz="0" w:space="0" w:color="auto"/>
        <w:left w:val="none" w:sz="0" w:space="0" w:color="auto"/>
        <w:bottom w:val="none" w:sz="0" w:space="0" w:color="auto"/>
        <w:right w:val="none" w:sz="0" w:space="0" w:color="auto"/>
      </w:divBdr>
    </w:div>
    <w:div w:id="1725594458">
      <w:bodyDiv w:val="1"/>
      <w:marLeft w:val="0"/>
      <w:marRight w:val="0"/>
      <w:marTop w:val="0"/>
      <w:marBottom w:val="0"/>
      <w:divBdr>
        <w:top w:val="none" w:sz="0" w:space="0" w:color="auto"/>
        <w:left w:val="none" w:sz="0" w:space="0" w:color="auto"/>
        <w:bottom w:val="none" w:sz="0" w:space="0" w:color="auto"/>
        <w:right w:val="none" w:sz="0" w:space="0" w:color="auto"/>
      </w:divBdr>
    </w:div>
    <w:div w:id="1725912369">
      <w:bodyDiv w:val="1"/>
      <w:marLeft w:val="0"/>
      <w:marRight w:val="0"/>
      <w:marTop w:val="0"/>
      <w:marBottom w:val="0"/>
      <w:divBdr>
        <w:top w:val="none" w:sz="0" w:space="0" w:color="auto"/>
        <w:left w:val="none" w:sz="0" w:space="0" w:color="auto"/>
        <w:bottom w:val="none" w:sz="0" w:space="0" w:color="auto"/>
        <w:right w:val="none" w:sz="0" w:space="0" w:color="auto"/>
      </w:divBdr>
    </w:div>
    <w:div w:id="1726876674">
      <w:bodyDiv w:val="1"/>
      <w:marLeft w:val="0"/>
      <w:marRight w:val="0"/>
      <w:marTop w:val="0"/>
      <w:marBottom w:val="0"/>
      <w:divBdr>
        <w:top w:val="none" w:sz="0" w:space="0" w:color="auto"/>
        <w:left w:val="none" w:sz="0" w:space="0" w:color="auto"/>
        <w:bottom w:val="none" w:sz="0" w:space="0" w:color="auto"/>
        <w:right w:val="none" w:sz="0" w:space="0" w:color="auto"/>
      </w:divBdr>
    </w:div>
    <w:div w:id="1727877294">
      <w:bodyDiv w:val="1"/>
      <w:marLeft w:val="0"/>
      <w:marRight w:val="0"/>
      <w:marTop w:val="0"/>
      <w:marBottom w:val="0"/>
      <w:divBdr>
        <w:top w:val="none" w:sz="0" w:space="0" w:color="auto"/>
        <w:left w:val="none" w:sz="0" w:space="0" w:color="auto"/>
        <w:bottom w:val="none" w:sz="0" w:space="0" w:color="auto"/>
        <w:right w:val="none" w:sz="0" w:space="0" w:color="auto"/>
      </w:divBdr>
    </w:div>
    <w:div w:id="1733458764">
      <w:bodyDiv w:val="1"/>
      <w:marLeft w:val="0"/>
      <w:marRight w:val="0"/>
      <w:marTop w:val="0"/>
      <w:marBottom w:val="0"/>
      <w:divBdr>
        <w:top w:val="none" w:sz="0" w:space="0" w:color="auto"/>
        <w:left w:val="none" w:sz="0" w:space="0" w:color="auto"/>
        <w:bottom w:val="none" w:sz="0" w:space="0" w:color="auto"/>
        <w:right w:val="none" w:sz="0" w:space="0" w:color="auto"/>
      </w:divBdr>
    </w:div>
    <w:div w:id="1734037742">
      <w:bodyDiv w:val="1"/>
      <w:marLeft w:val="0"/>
      <w:marRight w:val="0"/>
      <w:marTop w:val="0"/>
      <w:marBottom w:val="0"/>
      <w:divBdr>
        <w:top w:val="none" w:sz="0" w:space="0" w:color="auto"/>
        <w:left w:val="none" w:sz="0" w:space="0" w:color="auto"/>
        <w:bottom w:val="none" w:sz="0" w:space="0" w:color="auto"/>
        <w:right w:val="none" w:sz="0" w:space="0" w:color="auto"/>
      </w:divBdr>
    </w:div>
    <w:div w:id="1736318780">
      <w:bodyDiv w:val="1"/>
      <w:marLeft w:val="0"/>
      <w:marRight w:val="0"/>
      <w:marTop w:val="0"/>
      <w:marBottom w:val="0"/>
      <w:divBdr>
        <w:top w:val="none" w:sz="0" w:space="0" w:color="auto"/>
        <w:left w:val="none" w:sz="0" w:space="0" w:color="auto"/>
        <w:bottom w:val="none" w:sz="0" w:space="0" w:color="auto"/>
        <w:right w:val="none" w:sz="0" w:space="0" w:color="auto"/>
      </w:divBdr>
    </w:div>
    <w:div w:id="1738089457">
      <w:bodyDiv w:val="1"/>
      <w:marLeft w:val="0"/>
      <w:marRight w:val="0"/>
      <w:marTop w:val="0"/>
      <w:marBottom w:val="0"/>
      <w:divBdr>
        <w:top w:val="none" w:sz="0" w:space="0" w:color="auto"/>
        <w:left w:val="none" w:sz="0" w:space="0" w:color="auto"/>
        <w:bottom w:val="none" w:sz="0" w:space="0" w:color="auto"/>
        <w:right w:val="none" w:sz="0" w:space="0" w:color="auto"/>
      </w:divBdr>
    </w:div>
    <w:div w:id="1738941205">
      <w:bodyDiv w:val="1"/>
      <w:marLeft w:val="0"/>
      <w:marRight w:val="0"/>
      <w:marTop w:val="0"/>
      <w:marBottom w:val="0"/>
      <w:divBdr>
        <w:top w:val="none" w:sz="0" w:space="0" w:color="auto"/>
        <w:left w:val="none" w:sz="0" w:space="0" w:color="auto"/>
        <w:bottom w:val="none" w:sz="0" w:space="0" w:color="auto"/>
        <w:right w:val="none" w:sz="0" w:space="0" w:color="auto"/>
      </w:divBdr>
    </w:div>
    <w:div w:id="1740011355">
      <w:bodyDiv w:val="1"/>
      <w:marLeft w:val="0"/>
      <w:marRight w:val="0"/>
      <w:marTop w:val="0"/>
      <w:marBottom w:val="0"/>
      <w:divBdr>
        <w:top w:val="none" w:sz="0" w:space="0" w:color="auto"/>
        <w:left w:val="none" w:sz="0" w:space="0" w:color="auto"/>
        <w:bottom w:val="none" w:sz="0" w:space="0" w:color="auto"/>
        <w:right w:val="none" w:sz="0" w:space="0" w:color="auto"/>
      </w:divBdr>
    </w:div>
    <w:div w:id="1740012962">
      <w:bodyDiv w:val="1"/>
      <w:marLeft w:val="0"/>
      <w:marRight w:val="0"/>
      <w:marTop w:val="0"/>
      <w:marBottom w:val="0"/>
      <w:divBdr>
        <w:top w:val="none" w:sz="0" w:space="0" w:color="auto"/>
        <w:left w:val="none" w:sz="0" w:space="0" w:color="auto"/>
        <w:bottom w:val="none" w:sz="0" w:space="0" w:color="auto"/>
        <w:right w:val="none" w:sz="0" w:space="0" w:color="auto"/>
      </w:divBdr>
    </w:div>
    <w:div w:id="1750881421">
      <w:bodyDiv w:val="1"/>
      <w:marLeft w:val="0"/>
      <w:marRight w:val="0"/>
      <w:marTop w:val="0"/>
      <w:marBottom w:val="0"/>
      <w:divBdr>
        <w:top w:val="none" w:sz="0" w:space="0" w:color="auto"/>
        <w:left w:val="none" w:sz="0" w:space="0" w:color="auto"/>
        <w:bottom w:val="none" w:sz="0" w:space="0" w:color="auto"/>
        <w:right w:val="none" w:sz="0" w:space="0" w:color="auto"/>
      </w:divBdr>
    </w:div>
    <w:div w:id="1751275028">
      <w:bodyDiv w:val="1"/>
      <w:marLeft w:val="0"/>
      <w:marRight w:val="0"/>
      <w:marTop w:val="0"/>
      <w:marBottom w:val="0"/>
      <w:divBdr>
        <w:top w:val="none" w:sz="0" w:space="0" w:color="auto"/>
        <w:left w:val="none" w:sz="0" w:space="0" w:color="auto"/>
        <w:bottom w:val="none" w:sz="0" w:space="0" w:color="auto"/>
        <w:right w:val="none" w:sz="0" w:space="0" w:color="auto"/>
      </w:divBdr>
    </w:div>
    <w:div w:id="1758015329">
      <w:bodyDiv w:val="1"/>
      <w:marLeft w:val="0"/>
      <w:marRight w:val="0"/>
      <w:marTop w:val="0"/>
      <w:marBottom w:val="0"/>
      <w:divBdr>
        <w:top w:val="none" w:sz="0" w:space="0" w:color="auto"/>
        <w:left w:val="none" w:sz="0" w:space="0" w:color="auto"/>
        <w:bottom w:val="none" w:sz="0" w:space="0" w:color="auto"/>
        <w:right w:val="none" w:sz="0" w:space="0" w:color="auto"/>
      </w:divBdr>
    </w:div>
    <w:div w:id="1759132875">
      <w:bodyDiv w:val="1"/>
      <w:marLeft w:val="0"/>
      <w:marRight w:val="0"/>
      <w:marTop w:val="0"/>
      <w:marBottom w:val="0"/>
      <w:divBdr>
        <w:top w:val="none" w:sz="0" w:space="0" w:color="auto"/>
        <w:left w:val="none" w:sz="0" w:space="0" w:color="auto"/>
        <w:bottom w:val="none" w:sz="0" w:space="0" w:color="auto"/>
        <w:right w:val="none" w:sz="0" w:space="0" w:color="auto"/>
      </w:divBdr>
    </w:div>
    <w:div w:id="1766879623">
      <w:bodyDiv w:val="1"/>
      <w:marLeft w:val="0"/>
      <w:marRight w:val="0"/>
      <w:marTop w:val="0"/>
      <w:marBottom w:val="0"/>
      <w:divBdr>
        <w:top w:val="none" w:sz="0" w:space="0" w:color="auto"/>
        <w:left w:val="none" w:sz="0" w:space="0" w:color="auto"/>
        <w:bottom w:val="none" w:sz="0" w:space="0" w:color="auto"/>
        <w:right w:val="none" w:sz="0" w:space="0" w:color="auto"/>
      </w:divBdr>
    </w:div>
    <w:div w:id="1769540485">
      <w:bodyDiv w:val="1"/>
      <w:marLeft w:val="0"/>
      <w:marRight w:val="0"/>
      <w:marTop w:val="0"/>
      <w:marBottom w:val="0"/>
      <w:divBdr>
        <w:top w:val="none" w:sz="0" w:space="0" w:color="auto"/>
        <w:left w:val="none" w:sz="0" w:space="0" w:color="auto"/>
        <w:bottom w:val="none" w:sz="0" w:space="0" w:color="auto"/>
        <w:right w:val="none" w:sz="0" w:space="0" w:color="auto"/>
      </w:divBdr>
    </w:div>
    <w:div w:id="1772508846">
      <w:bodyDiv w:val="1"/>
      <w:marLeft w:val="0"/>
      <w:marRight w:val="0"/>
      <w:marTop w:val="0"/>
      <w:marBottom w:val="0"/>
      <w:divBdr>
        <w:top w:val="none" w:sz="0" w:space="0" w:color="auto"/>
        <w:left w:val="none" w:sz="0" w:space="0" w:color="auto"/>
        <w:bottom w:val="none" w:sz="0" w:space="0" w:color="auto"/>
        <w:right w:val="none" w:sz="0" w:space="0" w:color="auto"/>
      </w:divBdr>
    </w:div>
    <w:div w:id="1773746105">
      <w:bodyDiv w:val="1"/>
      <w:marLeft w:val="0"/>
      <w:marRight w:val="0"/>
      <w:marTop w:val="0"/>
      <w:marBottom w:val="0"/>
      <w:divBdr>
        <w:top w:val="none" w:sz="0" w:space="0" w:color="auto"/>
        <w:left w:val="none" w:sz="0" w:space="0" w:color="auto"/>
        <w:bottom w:val="none" w:sz="0" w:space="0" w:color="auto"/>
        <w:right w:val="none" w:sz="0" w:space="0" w:color="auto"/>
      </w:divBdr>
    </w:div>
    <w:div w:id="1774395088">
      <w:bodyDiv w:val="1"/>
      <w:marLeft w:val="0"/>
      <w:marRight w:val="0"/>
      <w:marTop w:val="0"/>
      <w:marBottom w:val="0"/>
      <w:divBdr>
        <w:top w:val="none" w:sz="0" w:space="0" w:color="auto"/>
        <w:left w:val="none" w:sz="0" w:space="0" w:color="auto"/>
        <w:bottom w:val="none" w:sz="0" w:space="0" w:color="auto"/>
        <w:right w:val="none" w:sz="0" w:space="0" w:color="auto"/>
      </w:divBdr>
    </w:div>
    <w:div w:id="1777360862">
      <w:bodyDiv w:val="1"/>
      <w:marLeft w:val="0"/>
      <w:marRight w:val="0"/>
      <w:marTop w:val="0"/>
      <w:marBottom w:val="0"/>
      <w:divBdr>
        <w:top w:val="none" w:sz="0" w:space="0" w:color="auto"/>
        <w:left w:val="none" w:sz="0" w:space="0" w:color="auto"/>
        <w:bottom w:val="none" w:sz="0" w:space="0" w:color="auto"/>
        <w:right w:val="none" w:sz="0" w:space="0" w:color="auto"/>
      </w:divBdr>
    </w:div>
    <w:div w:id="1779064188">
      <w:bodyDiv w:val="1"/>
      <w:marLeft w:val="0"/>
      <w:marRight w:val="0"/>
      <w:marTop w:val="0"/>
      <w:marBottom w:val="0"/>
      <w:divBdr>
        <w:top w:val="none" w:sz="0" w:space="0" w:color="auto"/>
        <w:left w:val="none" w:sz="0" w:space="0" w:color="auto"/>
        <w:bottom w:val="none" w:sz="0" w:space="0" w:color="auto"/>
        <w:right w:val="none" w:sz="0" w:space="0" w:color="auto"/>
      </w:divBdr>
    </w:div>
    <w:div w:id="1780098221">
      <w:bodyDiv w:val="1"/>
      <w:marLeft w:val="0"/>
      <w:marRight w:val="0"/>
      <w:marTop w:val="0"/>
      <w:marBottom w:val="0"/>
      <w:divBdr>
        <w:top w:val="none" w:sz="0" w:space="0" w:color="auto"/>
        <w:left w:val="none" w:sz="0" w:space="0" w:color="auto"/>
        <w:bottom w:val="none" w:sz="0" w:space="0" w:color="auto"/>
        <w:right w:val="none" w:sz="0" w:space="0" w:color="auto"/>
      </w:divBdr>
    </w:div>
    <w:div w:id="1785921742">
      <w:bodyDiv w:val="1"/>
      <w:marLeft w:val="0"/>
      <w:marRight w:val="0"/>
      <w:marTop w:val="0"/>
      <w:marBottom w:val="0"/>
      <w:divBdr>
        <w:top w:val="none" w:sz="0" w:space="0" w:color="auto"/>
        <w:left w:val="none" w:sz="0" w:space="0" w:color="auto"/>
        <w:bottom w:val="none" w:sz="0" w:space="0" w:color="auto"/>
        <w:right w:val="none" w:sz="0" w:space="0" w:color="auto"/>
      </w:divBdr>
    </w:div>
    <w:div w:id="1787625533">
      <w:bodyDiv w:val="1"/>
      <w:marLeft w:val="0"/>
      <w:marRight w:val="0"/>
      <w:marTop w:val="0"/>
      <w:marBottom w:val="0"/>
      <w:divBdr>
        <w:top w:val="none" w:sz="0" w:space="0" w:color="auto"/>
        <w:left w:val="none" w:sz="0" w:space="0" w:color="auto"/>
        <w:bottom w:val="none" w:sz="0" w:space="0" w:color="auto"/>
        <w:right w:val="none" w:sz="0" w:space="0" w:color="auto"/>
      </w:divBdr>
    </w:div>
    <w:div w:id="1793472079">
      <w:bodyDiv w:val="1"/>
      <w:marLeft w:val="0"/>
      <w:marRight w:val="0"/>
      <w:marTop w:val="0"/>
      <w:marBottom w:val="0"/>
      <w:divBdr>
        <w:top w:val="none" w:sz="0" w:space="0" w:color="auto"/>
        <w:left w:val="none" w:sz="0" w:space="0" w:color="auto"/>
        <w:bottom w:val="none" w:sz="0" w:space="0" w:color="auto"/>
        <w:right w:val="none" w:sz="0" w:space="0" w:color="auto"/>
      </w:divBdr>
    </w:div>
    <w:div w:id="1795126430">
      <w:bodyDiv w:val="1"/>
      <w:marLeft w:val="0"/>
      <w:marRight w:val="0"/>
      <w:marTop w:val="0"/>
      <w:marBottom w:val="0"/>
      <w:divBdr>
        <w:top w:val="none" w:sz="0" w:space="0" w:color="auto"/>
        <w:left w:val="none" w:sz="0" w:space="0" w:color="auto"/>
        <w:bottom w:val="none" w:sz="0" w:space="0" w:color="auto"/>
        <w:right w:val="none" w:sz="0" w:space="0" w:color="auto"/>
      </w:divBdr>
    </w:div>
    <w:div w:id="1798063902">
      <w:bodyDiv w:val="1"/>
      <w:marLeft w:val="0"/>
      <w:marRight w:val="0"/>
      <w:marTop w:val="0"/>
      <w:marBottom w:val="0"/>
      <w:divBdr>
        <w:top w:val="none" w:sz="0" w:space="0" w:color="auto"/>
        <w:left w:val="none" w:sz="0" w:space="0" w:color="auto"/>
        <w:bottom w:val="none" w:sz="0" w:space="0" w:color="auto"/>
        <w:right w:val="none" w:sz="0" w:space="0" w:color="auto"/>
      </w:divBdr>
    </w:div>
    <w:div w:id="1799488175">
      <w:bodyDiv w:val="1"/>
      <w:marLeft w:val="0"/>
      <w:marRight w:val="0"/>
      <w:marTop w:val="0"/>
      <w:marBottom w:val="0"/>
      <w:divBdr>
        <w:top w:val="none" w:sz="0" w:space="0" w:color="auto"/>
        <w:left w:val="none" w:sz="0" w:space="0" w:color="auto"/>
        <w:bottom w:val="none" w:sz="0" w:space="0" w:color="auto"/>
        <w:right w:val="none" w:sz="0" w:space="0" w:color="auto"/>
      </w:divBdr>
    </w:div>
    <w:div w:id="1799912655">
      <w:bodyDiv w:val="1"/>
      <w:marLeft w:val="0"/>
      <w:marRight w:val="0"/>
      <w:marTop w:val="0"/>
      <w:marBottom w:val="0"/>
      <w:divBdr>
        <w:top w:val="none" w:sz="0" w:space="0" w:color="auto"/>
        <w:left w:val="none" w:sz="0" w:space="0" w:color="auto"/>
        <w:bottom w:val="none" w:sz="0" w:space="0" w:color="auto"/>
        <w:right w:val="none" w:sz="0" w:space="0" w:color="auto"/>
      </w:divBdr>
    </w:div>
    <w:div w:id="1800147974">
      <w:bodyDiv w:val="1"/>
      <w:marLeft w:val="0"/>
      <w:marRight w:val="0"/>
      <w:marTop w:val="0"/>
      <w:marBottom w:val="0"/>
      <w:divBdr>
        <w:top w:val="none" w:sz="0" w:space="0" w:color="auto"/>
        <w:left w:val="none" w:sz="0" w:space="0" w:color="auto"/>
        <w:bottom w:val="none" w:sz="0" w:space="0" w:color="auto"/>
        <w:right w:val="none" w:sz="0" w:space="0" w:color="auto"/>
      </w:divBdr>
    </w:div>
    <w:div w:id="1800222583">
      <w:bodyDiv w:val="1"/>
      <w:marLeft w:val="0"/>
      <w:marRight w:val="0"/>
      <w:marTop w:val="0"/>
      <w:marBottom w:val="0"/>
      <w:divBdr>
        <w:top w:val="none" w:sz="0" w:space="0" w:color="auto"/>
        <w:left w:val="none" w:sz="0" w:space="0" w:color="auto"/>
        <w:bottom w:val="none" w:sz="0" w:space="0" w:color="auto"/>
        <w:right w:val="none" w:sz="0" w:space="0" w:color="auto"/>
      </w:divBdr>
    </w:div>
    <w:div w:id="1800610588">
      <w:bodyDiv w:val="1"/>
      <w:marLeft w:val="0"/>
      <w:marRight w:val="0"/>
      <w:marTop w:val="0"/>
      <w:marBottom w:val="0"/>
      <w:divBdr>
        <w:top w:val="none" w:sz="0" w:space="0" w:color="auto"/>
        <w:left w:val="none" w:sz="0" w:space="0" w:color="auto"/>
        <w:bottom w:val="none" w:sz="0" w:space="0" w:color="auto"/>
        <w:right w:val="none" w:sz="0" w:space="0" w:color="auto"/>
      </w:divBdr>
    </w:div>
    <w:div w:id="1800875154">
      <w:bodyDiv w:val="1"/>
      <w:marLeft w:val="0"/>
      <w:marRight w:val="0"/>
      <w:marTop w:val="0"/>
      <w:marBottom w:val="0"/>
      <w:divBdr>
        <w:top w:val="none" w:sz="0" w:space="0" w:color="auto"/>
        <w:left w:val="none" w:sz="0" w:space="0" w:color="auto"/>
        <w:bottom w:val="none" w:sz="0" w:space="0" w:color="auto"/>
        <w:right w:val="none" w:sz="0" w:space="0" w:color="auto"/>
      </w:divBdr>
    </w:div>
    <w:div w:id="1802383893">
      <w:bodyDiv w:val="1"/>
      <w:marLeft w:val="0"/>
      <w:marRight w:val="0"/>
      <w:marTop w:val="0"/>
      <w:marBottom w:val="0"/>
      <w:divBdr>
        <w:top w:val="none" w:sz="0" w:space="0" w:color="auto"/>
        <w:left w:val="none" w:sz="0" w:space="0" w:color="auto"/>
        <w:bottom w:val="none" w:sz="0" w:space="0" w:color="auto"/>
        <w:right w:val="none" w:sz="0" w:space="0" w:color="auto"/>
      </w:divBdr>
    </w:div>
    <w:div w:id="1803232917">
      <w:bodyDiv w:val="1"/>
      <w:marLeft w:val="0"/>
      <w:marRight w:val="0"/>
      <w:marTop w:val="0"/>
      <w:marBottom w:val="0"/>
      <w:divBdr>
        <w:top w:val="none" w:sz="0" w:space="0" w:color="auto"/>
        <w:left w:val="none" w:sz="0" w:space="0" w:color="auto"/>
        <w:bottom w:val="none" w:sz="0" w:space="0" w:color="auto"/>
        <w:right w:val="none" w:sz="0" w:space="0" w:color="auto"/>
      </w:divBdr>
    </w:div>
    <w:div w:id="1803617712">
      <w:bodyDiv w:val="1"/>
      <w:marLeft w:val="0"/>
      <w:marRight w:val="0"/>
      <w:marTop w:val="0"/>
      <w:marBottom w:val="0"/>
      <w:divBdr>
        <w:top w:val="none" w:sz="0" w:space="0" w:color="auto"/>
        <w:left w:val="none" w:sz="0" w:space="0" w:color="auto"/>
        <w:bottom w:val="none" w:sz="0" w:space="0" w:color="auto"/>
        <w:right w:val="none" w:sz="0" w:space="0" w:color="auto"/>
      </w:divBdr>
    </w:div>
    <w:div w:id="1804691916">
      <w:bodyDiv w:val="1"/>
      <w:marLeft w:val="0"/>
      <w:marRight w:val="0"/>
      <w:marTop w:val="0"/>
      <w:marBottom w:val="0"/>
      <w:divBdr>
        <w:top w:val="none" w:sz="0" w:space="0" w:color="auto"/>
        <w:left w:val="none" w:sz="0" w:space="0" w:color="auto"/>
        <w:bottom w:val="none" w:sz="0" w:space="0" w:color="auto"/>
        <w:right w:val="none" w:sz="0" w:space="0" w:color="auto"/>
      </w:divBdr>
    </w:div>
    <w:div w:id="1807774993">
      <w:bodyDiv w:val="1"/>
      <w:marLeft w:val="0"/>
      <w:marRight w:val="0"/>
      <w:marTop w:val="0"/>
      <w:marBottom w:val="0"/>
      <w:divBdr>
        <w:top w:val="none" w:sz="0" w:space="0" w:color="auto"/>
        <w:left w:val="none" w:sz="0" w:space="0" w:color="auto"/>
        <w:bottom w:val="none" w:sz="0" w:space="0" w:color="auto"/>
        <w:right w:val="none" w:sz="0" w:space="0" w:color="auto"/>
      </w:divBdr>
    </w:div>
    <w:div w:id="1813981194">
      <w:bodyDiv w:val="1"/>
      <w:marLeft w:val="0"/>
      <w:marRight w:val="0"/>
      <w:marTop w:val="0"/>
      <w:marBottom w:val="0"/>
      <w:divBdr>
        <w:top w:val="none" w:sz="0" w:space="0" w:color="auto"/>
        <w:left w:val="none" w:sz="0" w:space="0" w:color="auto"/>
        <w:bottom w:val="none" w:sz="0" w:space="0" w:color="auto"/>
        <w:right w:val="none" w:sz="0" w:space="0" w:color="auto"/>
      </w:divBdr>
    </w:div>
    <w:div w:id="1815760099">
      <w:bodyDiv w:val="1"/>
      <w:marLeft w:val="0"/>
      <w:marRight w:val="0"/>
      <w:marTop w:val="0"/>
      <w:marBottom w:val="0"/>
      <w:divBdr>
        <w:top w:val="none" w:sz="0" w:space="0" w:color="auto"/>
        <w:left w:val="none" w:sz="0" w:space="0" w:color="auto"/>
        <w:bottom w:val="none" w:sz="0" w:space="0" w:color="auto"/>
        <w:right w:val="none" w:sz="0" w:space="0" w:color="auto"/>
      </w:divBdr>
    </w:div>
    <w:div w:id="1824006576">
      <w:bodyDiv w:val="1"/>
      <w:marLeft w:val="0"/>
      <w:marRight w:val="0"/>
      <w:marTop w:val="0"/>
      <w:marBottom w:val="0"/>
      <w:divBdr>
        <w:top w:val="none" w:sz="0" w:space="0" w:color="auto"/>
        <w:left w:val="none" w:sz="0" w:space="0" w:color="auto"/>
        <w:bottom w:val="none" w:sz="0" w:space="0" w:color="auto"/>
        <w:right w:val="none" w:sz="0" w:space="0" w:color="auto"/>
      </w:divBdr>
    </w:div>
    <w:div w:id="1824933449">
      <w:bodyDiv w:val="1"/>
      <w:marLeft w:val="0"/>
      <w:marRight w:val="0"/>
      <w:marTop w:val="0"/>
      <w:marBottom w:val="0"/>
      <w:divBdr>
        <w:top w:val="none" w:sz="0" w:space="0" w:color="auto"/>
        <w:left w:val="none" w:sz="0" w:space="0" w:color="auto"/>
        <w:bottom w:val="none" w:sz="0" w:space="0" w:color="auto"/>
        <w:right w:val="none" w:sz="0" w:space="0" w:color="auto"/>
      </w:divBdr>
    </w:div>
    <w:div w:id="1825196956">
      <w:bodyDiv w:val="1"/>
      <w:marLeft w:val="0"/>
      <w:marRight w:val="0"/>
      <w:marTop w:val="0"/>
      <w:marBottom w:val="0"/>
      <w:divBdr>
        <w:top w:val="none" w:sz="0" w:space="0" w:color="auto"/>
        <w:left w:val="none" w:sz="0" w:space="0" w:color="auto"/>
        <w:bottom w:val="none" w:sz="0" w:space="0" w:color="auto"/>
        <w:right w:val="none" w:sz="0" w:space="0" w:color="auto"/>
      </w:divBdr>
    </w:div>
    <w:div w:id="1828278299">
      <w:bodyDiv w:val="1"/>
      <w:marLeft w:val="0"/>
      <w:marRight w:val="0"/>
      <w:marTop w:val="0"/>
      <w:marBottom w:val="0"/>
      <w:divBdr>
        <w:top w:val="none" w:sz="0" w:space="0" w:color="auto"/>
        <w:left w:val="none" w:sz="0" w:space="0" w:color="auto"/>
        <w:bottom w:val="none" w:sz="0" w:space="0" w:color="auto"/>
        <w:right w:val="none" w:sz="0" w:space="0" w:color="auto"/>
      </w:divBdr>
    </w:div>
    <w:div w:id="1829786899">
      <w:bodyDiv w:val="1"/>
      <w:marLeft w:val="0"/>
      <w:marRight w:val="0"/>
      <w:marTop w:val="0"/>
      <w:marBottom w:val="0"/>
      <w:divBdr>
        <w:top w:val="none" w:sz="0" w:space="0" w:color="auto"/>
        <w:left w:val="none" w:sz="0" w:space="0" w:color="auto"/>
        <w:bottom w:val="none" w:sz="0" w:space="0" w:color="auto"/>
        <w:right w:val="none" w:sz="0" w:space="0" w:color="auto"/>
      </w:divBdr>
    </w:div>
    <w:div w:id="1830367062">
      <w:bodyDiv w:val="1"/>
      <w:marLeft w:val="0"/>
      <w:marRight w:val="0"/>
      <w:marTop w:val="0"/>
      <w:marBottom w:val="0"/>
      <w:divBdr>
        <w:top w:val="none" w:sz="0" w:space="0" w:color="auto"/>
        <w:left w:val="none" w:sz="0" w:space="0" w:color="auto"/>
        <w:bottom w:val="none" w:sz="0" w:space="0" w:color="auto"/>
        <w:right w:val="none" w:sz="0" w:space="0" w:color="auto"/>
      </w:divBdr>
    </w:div>
    <w:div w:id="1832597048">
      <w:bodyDiv w:val="1"/>
      <w:marLeft w:val="0"/>
      <w:marRight w:val="0"/>
      <w:marTop w:val="0"/>
      <w:marBottom w:val="0"/>
      <w:divBdr>
        <w:top w:val="none" w:sz="0" w:space="0" w:color="auto"/>
        <w:left w:val="none" w:sz="0" w:space="0" w:color="auto"/>
        <w:bottom w:val="none" w:sz="0" w:space="0" w:color="auto"/>
        <w:right w:val="none" w:sz="0" w:space="0" w:color="auto"/>
      </w:divBdr>
    </w:div>
    <w:div w:id="1834026564">
      <w:bodyDiv w:val="1"/>
      <w:marLeft w:val="0"/>
      <w:marRight w:val="0"/>
      <w:marTop w:val="0"/>
      <w:marBottom w:val="0"/>
      <w:divBdr>
        <w:top w:val="none" w:sz="0" w:space="0" w:color="auto"/>
        <w:left w:val="none" w:sz="0" w:space="0" w:color="auto"/>
        <w:bottom w:val="none" w:sz="0" w:space="0" w:color="auto"/>
        <w:right w:val="none" w:sz="0" w:space="0" w:color="auto"/>
      </w:divBdr>
    </w:div>
    <w:div w:id="1834494169">
      <w:bodyDiv w:val="1"/>
      <w:marLeft w:val="0"/>
      <w:marRight w:val="0"/>
      <w:marTop w:val="0"/>
      <w:marBottom w:val="0"/>
      <w:divBdr>
        <w:top w:val="none" w:sz="0" w:space="0" w:color="auto"/>
        <w:left w:val="none" w:sz="0" w:space="0" w:color="auto"/>
        <w:bottom w:val="none" w:sz="0" w:space="0" w:color="auto"/>
        <w:right w:val="none" w:sz="0" w:space="0" w:color="auto"/>
      </w:divBdr>
    </w:div>
    <w:div w:id="1835100323">
      <w:bodyDiv w:val="1"/>
      <w:marLeft w:val="0"/>
      <w:marRight w:val="0"/>
      <w:marTop w:val="0"/>
      <w:marBottom w:val="0"/>
      <w:divBdr>
        <w:top w:val="none" w:sz="0" w:space="0" w:color="auto"/>
        <w:left w:val="none" w:sz="0" w:space="0" w:color="auto"/>
        <w:bottom w:val="none" w:sz="0" w:space="0" w:color="auto"/>
        <w:right w:val="none" w:sz="0" w:space="0" w:color="auto"/>
      </w:divBdr>
    </w:div>
    <w:div w:id="1837111986">
      <w:bodyDiv w:val="1"/>
      <w:marLeft w:val="0"/>
      <w:marRight w:val="0"/>
      <w:marTop w:val="0"/>
      <w:marBottom w:val="0"/>
      <w:divBdr>
        <w:top w:val="none" w:sz="0" w:space="0" w:color="auto"/>
        <w:left w:val="none" w:sz="0" w:space="0" w:color="auto"/>
        <w:bottom w:val="none" w:sz="0" w:space="0" w:color="auto"/>
        <w:right w:val="none" w:sz="0" w:space="0" w:color="auto"/>
      </w:divBdr>
    </w:div>
    <w:div w:id="1840806057">
      <w:bodyDiv w:val="1"/>
      <w:marLeft w:val="0"/>
      <w:marRight w:val="0"/>
      <w:marTop w:val="0"/>
      <w:marBottom w:val="0"/>
      <w:divBdr>
        <w:top w:val="none" w:sz="0" w:space="0" w:color="auto"/>
        <w:left w:val="none" w:sz="0" w:space="0" w:color="auto"/>
        <w:bottom w:val="none" w:sz="0" w:space="0" w:color="auto"/>
        <w:right w:val="none" w:sz="0" w:space="0" w:color="auto"/>
      </w:divBdr>
    </w:div>
    <w:div w:id="1843547160">
      <w:bodyDiv w:val="1"/>
      <w:marLeft w:val="0"/>
      <w:marRight w:val="0"/>
      <w:marTop w:val="0"/>
      <w:marBottom w:val="0"/>
      <w:divBdr>
        <w:top w:val="none" w:sz="0" w:space="0" w:color="auto"/>
        <w:left w:val="none" w:sz="0" w:space="0" w:color="auto"/>
        <w:bottom w:val="none" w:sz="0" w:space="0" w:color="auto"/>
        <w:right w:val="none" w:sz="0" w:space="0" w:color="auto"/>
      </w:divBdr>
    </w:div>
    <w:div w:id="1843668486">
      <w:bodyDiv w:val="1"/>
      <w:marLeft w:val="0"/>
      <w:marRight w:val="0"/>
      <w:marTop w:val="0"/>
      <w:marBottom w:val="0"/>
      <w:divBdr>
        <w:top w:val="none" w:sz="0" w:space="0" w:color="auto"/>
        <w:left w:val="none" w:sz="0" w:space="0" w:color="auto"/>
        <w:bottom w:val="none" w:sz="0" w:space="0" w:color="auto"/>
        <w:right w:val="none" w:sz="0" w:space="0" w:color="auto"/>
      </w:divBdr>
    </w:div>
    <w:div w:id="1846438165">
      <w:bodyDiv w:val="1"/>
      <w:marLeft w:val="0"/>
      <w:marRight w:val="0"/>
      <w:marTop w:val="0"/>
      <w:marBottom w:val="0"/>
      <w:divBdr>
        <w:top w:val="none" w:sz="0" w:space="0" w:color="auto"/>
        <w:left w:val="none" w:sz="0" w:space="0" w:color="auto"/>
        <w:bottom w:val="none" w:sz="0" w:space="0" w:color="auto"/>
        <w:right w:val="none" w:sz="0" w:space="0" w:color="auto"/>
      </w:divBdr>
    </w:div>
    <w:div w:id="1848252615">
      <w:bodyDiv w:val="1"/>
      <w:marLeft w:val="0"/>
      <w:marRight w:val="0"/>
      <w:marTop w:val="0"/>
      <w:marBottom w:val="0"/>
      <w:divBdr>
        <w:top w:val="none" w:sz="0" w:space="0" w:color="auto"/>
        <w:left w:val="none" w:sz="0" w:space="0" w:color="auto"/>
        <w:bottom w:val="none" w:sz="0" w:space="0" w:color="auto"/>
        <w:right w:val="none" w:sz="0" w:space="0" w:color="auto"/>
      </w:divBdr>
    </w:div>
    <w:div w:id="1850638136">
      <w:bodyDiv w:val="1"/>
      <w:marLeft w:val="0"/>
      <w:marRight w:val="0"/>
      <w:marTop w:val="0"/>
      <w:marBottom w:val="0"/>
      <w:divBdr>
        <w:top w:val="none" w:sz="0" w:space="0" w:color="auto"/>
        <w:left w:val="none" w:sz="0" w:space="0" w:color="auto"/>
        <w:bottom w:val="none" w:sz="0" w:space="0" w:color="auto"/>
        <w:right w:val="none" w:sz="0" w:space="0" w:color="auto"/>
      </w:divBdr>
    </w:div>
    <w:div w:id="1851993323">
      <w:bodyDiv w:val="1"/>
      <w:marLeft w:val="0"/>
      <w:marRight w:val="0"/>
      <w:marTop w:val="0"/>
      <w:marBottom w:val="0"/>
      <w:divBdr>
        <w:top w:val="none" w:sz="0" w:space="0" w:color="auto"/>
        <w:left w:val="none" w:sz="0" w:space="0" w:color="auto"/>
        <w:bottom w:val="none" w:sz="0" w:space="0" w:color="auto"/>
        <w:right w:val="none" w:sz="0" w:space="0" w:color="auto"/>
      </w:divBdr>
    </w:div>
    <w:div w:id="1852991169">
      <w:bodyDiv w:val="1"/>
      <w:marLeft w:val="0"/>
      <w:marRight w:val="0"/>
      <w:marTop w:val="0"/>
      <w:marBottom w:val="0"/>
      <w:divBdr>
        <w:top w:val="none" w:sz="0" w:space="0" w:color="auto"/>
        <w:left w:val="none" w:sz="0" w:space="0" w:color="auto"/>
        <w:bottom w:val="none" w:sz="0" w:space="0" w:color="auto"/>
        <w:right w:val="none" w:sz="0" w:space="0" w:color="auto"/>
      </w:divBdr>
    </w:div>
    <w:div w:id="1853032700">
      <w:bodyDiv w:val="1"/>
      <w:marLeft w:val="0"/>
      <w:marRight w:val="0"/>
      <w:marTop w:val="0"/>
      <w:marBottom w:val="0"/>
      <w:divBdr>
        <w:top w:val="none" w:sz="0" w:space="0" w:color="auto"/>
        <w:left w:val="none" w:sz="0" w:space="0" w:color="auto"/>
        <w:bottom w:val="none" w:sz="0" w:space="0" w:color="auto"/>
        <w:right w:val="none" w:sz="0" w:space="0" w:color="auto"/>
      </w:divBdr>
    </w:div>
    <w:div w:id="1853493280">
      <w:bodyDiv w:val="1"/>
      <w:marLeft w:val="0"/>
      <w:marRight w:val="0"/>
      <w:marTop w:val="0"/>
      <w:marBottom w:val="0"/>
      <w:divBdr>
        <w:top w:val="none" w:sz="0" w:space="0" w:color="auto"/>
        <w:left w:val="none" w:sz="0" w:space="0" w:color="auto"/>
        <w:bottom w:val="none" w:sz="0" w:space="0" w:color="auto"/>
        <w:right w:val="none" w:sz="0" w:space="0" w:color="auto"/>
      </w:divBdr>
    </w:div>
    <w:div w:id="1855269855">
      <w:bodyDiv w:val="1"/>
      <w:marLeft w:val="0"/>
      <w:marRight w:val="0"/>
      <w:marTop w:val="0"/>
      <w:marBottom w:val="0"/>
      <w:divBdr>
        <w:top w:val="none" w:sz="0" w:space="0" w:color="auto"/>
        <w:left w:val="none" w:sz="0" w:space="0" w:color="auto"/>
        <w:bottom w:val="none" w:sz="0" w:space="0" w:color="auto"/>
        <w:right w:val="none" w:sz="0" w:space="0" w:color="auto"/>
      </w:divBdr>
    </w:div>
    <w:div w:id="1856454769">
      <w:bodyDiv w:val="1"/>
      <w:marLeft w:val="0"/>
      <w:marRight w:val="0"/>
      <w:marTop w:val="0"/>
      <w:marBottom w:val="0"/>
      <w:divBdr>
        <w:top w:val="none" w:sz="0" w:space="0" w:color="auto"/>
        <w:left w:val="none" w:sz="0" w:space="0" w:color="auto"/>
        <w:bottom w:val="none" w:sz="0" w:space="0" w:color="auto"/>
        <w:right w:val="none" w:sz="0" w:space="0" w:color="auto"/>
      </w:divBdr>
    </w:div>
    <w:div w:id="1859419150">
      <w:bodyDiv w:val="1"/>
      <w:marLeft w:val="0"/>
      <w:marRight w:val="0"/>
      <w:marTop w:val="0"/>
      <w:marBottom w:val="0"/>
      <w:divBdr>
        <w:top w:val="none" w:sz="0" w:space="0" w:color="auto"/>
        <w:left w:val="none" w:sz="0" w:space="0" w:color="auto"/>
        <w:bottom w:val="none" w:sz="0" w:space="0" w:color="auto"/>
        <w:right w:val="none" w:sz="0" w:space="0" w:color="auto"/>
      </w:divBdr>
    </w:div>
    <w:div w:id="1862620901">
      <w:bodyDiv w:val="1"/>
      <w:marLeft w:val="0"/>
      <w:marRight w:val="0"/>
      <w:marTop w:val="0"/>
      <w:marBottom w:val="0"/>
      <w:divBdr>
        <w:top w:val="none" w:sz="0" w:space="0" w:color="auto"/>
        <w:left w:val="none" w:sz="0" w:space="0" w:color="auto"/>
        <w:bottom w:val="none" w:sz="0" w:space="0" w:color="auto"/>
        <w:right w:val="none" w:sz="0" w:space="0" w:color="auto"/>
      </w:divBdr>
    </w:div>
    <w:div w:id="1862889506">
      <w:bodyDiv w:val="1"/>
      <w:marLeft w:val="0"/>
      <w:marRight w:val="0"/>
      <w:marTop w:val="0"/>
      <w:marBottom w:val="0"/>
      <w:divBdr>
        <w:top w:val="none" w:sz="0" w:space="0" w:color="auto"/>
        <w:left w:val="none" w:sz="0" w:space="0" w:color="auto"/>
        <w:bottom w:val="none" w:sz="0" w:space="0" w:color="auto"/>
        <w:right w:val="none" w:sz="0" w:space="0" w:color="auto"/>
      </w:divBdr>
    </w:div>
    <w:div w:id="1867477209">
      <w:bodyDiv w:val="1"/>
      <w:marLeft w:val="0"/>
      <w:marRight w:val="0"/>
      <w:marTop w:val="0"/>
      <w:marBottom w:val="0"/>
      <w:divBdr>
        <w:top w:val="none" w:sz="0" w:space="0" w:color="auto"/>
        <w:left w:val="none" w:sz="0" w:space="0" w:color="auto"/>
        <w:bottom w:val="none" w:sz="0" w:space="0" w:color="auto"/>
        <w:right w:val="none" w:sz="0" w:space="0" w:color="auto"/>
      </w:divBdr>
    </w:div>
    <w:div w:id="1870333919">
      <w:bodyDiv w:val="1"/>
      <w:marLeft w:val="0"/>
      <w:marRight w:val="0"/>
      <w:marTop w:val="0"/>
      <w:marBottom w:val="0"/>
      <w:divBdr>
        <w:top w:val="none" w:sz="0" w:space="0" w:color="auto"/>
        <w:left w:val="none" w:sz="0" w:space="0" w:color="auto"/>
        <w:bottom w:val="none" w:sz="0" w:space="0" w:color="auto"/>
        <w:right w:val="none" w:sz="0" w:space="0" w:color="auto"/>
      </w:divBdr>
    </w:div>
    <w:div w:id="1872955613">
      <w:bodyDiv w:val="1"/>
      <w:marLeft w:val="0"/>
      <w:marRight w:val="0"/>
      <w:marTop w:val="0"/>
      <w:marBottom w:val="0"/>
      <w:divBdr>
        <w:top w:val="none" w:sz="0" w:space="0" w:color="auto"/>
        <w:left w:val="none" w:sz="0" w:space="0" w:color="auto"/>
        <w:bottom w:val="none" w:sz="0" w:space="0" w:color="auto"/>
        <w:right w:val="none" w:sz="0" w:space="0" w:color="auto"/>
      </w:divBdr>
    </w:div>
    <w:div w:id="1873036612">
      <w:bodyDiv w:val="1"/>
      <w:marLeft w:val="0"/>
      <w:marRight w:val="0"/>
      <w:marTop w:val="0"/>
      <w:marBottom w:val="0"/>
      <w:divBdr>
        <w:top w:val="none" w:sz="0" w:space="0" w:color="auto"/>
        <w:left w:val="none" w:sz="0" w:space="0" w:color="auto"/>
        <w:bottom w:val="none" w:sz="0" w:space="0" w:color="auto"/>
        <w:right w:val="none" w:sz="0" w:space="0" w:color="auto"/>
      </w:divBdr>
    </w:div>
    <w:div w:id="1876383069">
      <w:bodyDiv w:val="1"/>
      <w:marLeft w:val="0"/>
      <w:marRight w:val="0"/>
      <w:marTop w:val="0"/>
      <w:marBottom w:val="0"/>
      <w:divBdr>
        <w:top w:val="none" w:sz="0" w:space="0" w:color="auto"/>
        <w:left w:val="none" w:sz="0" w:space="0" w:color="auto"/>
        <w:bottom w:val="none" w:sz="0" w:space="0" w:color="auto"/>
        <w:right w:val="none" w:sz="0" w:space="0" w:color="auto"/>
      </w:divBdr>
    </w:div>
    <w:div w:id="1877960875">
      <w:bodyDiv w:val="1"/>
      <w:marLeft w:val="0"/>
      <w:marRight w:val="0"/>
      <w:marTop w:val="0"/>
      <w:marBottom w:val="0"/>
      <w:divBdr>
        <w:top w:val="none" w:sz="0" w:space="0" w:color="auto"/>
        <w:left w:val="none" w:sz="0" w:space="0" w:color="auto"/>
        <w:bottom w:val="none" w:sz="0" w:space="0" w:color="auto"/>
        <w:right w:val="none" w:sz="0" w:space="0" w:color="auto"/>
      </w:divBdr>
    </w:div>
    <w:div w:id="1878355013">
      <w:bodyDiv w:val="1"/>
      <w:marLeft w:val="0"/>
      <w:marRight w:val="0"/>
      <w:marTop w:val="0"/>
      <w:marBottom w:val="0"/>
      <w:divBdr>
        <w:top w:val="none" w:sz="0" w:space="0" w:color="auto"/>
        <w:left w:val="none" w:sz="0" w:space="0" w:color="auto"/>
        <w:bottom w:val="none" w:sz="0" w:space="0" w:color="auto"/>
        <w:right w:val="none" w:sz="0" w:space="0" w:color="auto"/>
      </w:divBdr>
    </w:div>
    <w:div w:id="1879463076">
      <w:bodyDiv w:val="1"/>
      <w:marLeft w:val="0"/>
      <w:marRight w:val="0"/>
      <w:marTop w:val="0"/>
      <w:marBottom w:val="0"/>
      <w:divBdr>
        <w:top w:val="none" w:sz="0" w:space="0" w:color="auto"/>
        <w:left w:val="none" w:sz="0" w:space="0" w:color="auto"/>
        <w:bottom w:val="none" w:sz="0" w:space="0" w:color="auto"/>
        <w:right w:val="none" w:sz="0" w:space="0" w:color="auto"/>
      </w:divBdr>
    </w:div>
    <w:div w:id="1879972224">
      <w:bodyDiv w:val="1"/>
      <w:marLeft w:val="0"/>
      <w:marRight w:val="0"/>
      <w:marTop w:val="0"/>
      <w:marBottom w:val="0"/>
      <w:divBdr>
        <w:top w:val="none" w:sz="0" w:space="0" w:color="auto"/>
        <w:left w:val="none" w:sz="0" w:space="0" w:color="auto"/>
        <w:bottom w:val="none" w:sz="0" w:space="0" w:color="auto"/>
        <w:right w:val="none" w:sz="0" w:space="0" w:color="auto"/>
      </w:divBdr>
    </w:div>
    <w:div w:id="1885365754">
      <w:bodyDiv w:val="1"/>
      <w:marLeft w:val="0"/>
      <w:marRight w:val="0"/>
      <w:marTop w:val="0"/>
      <w:marBottom w:val="0"/>
      <w:divBdr>
        <w:top w:val="none" w:sz="0" w:space="0" w:color="auto"/>
        <w:left w:val="none" w:sz="0" w:space="0" w:color="auto"/>
        <w:bottom w:val="none" w:sz="0" w:space="0" w:color="auto"/>
        <w:right w:val="none" w:sz="0" w:space="0" w:color="auto"/>
      </w:divBdr>
    </w:div>
    <w:div w:id="1886061016">
      <w:bodyDiv w:val="1"/>
      <w:marLeft w:val="0"/>
      <w:marRight w:val="0"/>
      <w:marTop w:val="0"/>
      <w:marBottom w:val="0"/>
      <w:divBdr>
        <w:top w:val="none" w:sz="0" w:space="0" w:color="auto"/>
        <w:left w:val="none" w:sz="0" w:space="0" w:color="auto"/>
        <w:bottom w:val="none" w:sz="0" w:space="0" w:color="auto"/>
        <w:right w:val="none" w:sz="0" w:space="0" w:color="auto"/>
      </w:divBdr>
    </w:div>
    <w:div w:id="1888292613">
      <w:bodyDiv w:val="1"/>
      <w:marLeft w:val="0"/>
      <w:marRight w:val="0"/>
      <w:marTop w:val="0"/>
      <w:marBottom w:val="0"/>
      <w:divBdr>
        <w:top w:val="none" w:sz="0" w:space="0" w:color="auto"/>
        <w:left w:val="none" w:sz="0" w:space="0" w:color="auto"/>
        <w:bottom w:val="none" w:sz="0" w:space="0" w:color="auto"/>
        <w:right w:val="none" w:sz="0" w:space="0" w:color="auto"/>
      </w:divBdr>
    </w:div>
    <w:div w:id="1892225235">
      <w:bodyDiv w:val="1"/>
      <w:marLeft w:val="0"/>
      <w:marRight w:val="0"/>
      <w:marTop w:val="0"/>
      <w:marBottom w:val="0"/>
      <w:divBdr>
        <w:top w:val="none" w:sz="0" w:space="0" w:color="auto"/>
        <w:left w:val="none" w:sz="0" w:space="0" w:color="auto"/>
        <w:bottom w:val="none" w:sz="0" w:space="0" w:color="auto"/>
        <w:right w:val="none" w:sz="0" w:space="0" w:color="auto"/>
      </w:divBdr>
    </w:div>
    <w:div w:id="1892959671">
      <w:bodyDiv w:val="1"/>
      <w:marLeft w:val="0"/>
      <w:marRight w:val="0"/>
      <w:marTop w:val="0"/>
      <w:marBottom w:val="0"/>
      <w:divBdr>
        <w:top w:val="none" w:sz="0" w:space="0" w:color="auto"/>
        <w:left w:val="none" w:sz="0" w:space="0" w:color="auto"/>
        <w:bottom w:val="none" w:sz="0" w:space="0" w:color="auto"/>
        <w:right w:val="none" w:sz="0" w:space="0" w:color="auto"/>
      </w:divBdr>
    </w:div>
    <w:div w:id="1893033354">
      <w:bodyDiv w:val="1"/>
      <w:marLeft w:val="0"/>
      <w:marRight w:val="0"/>
      <w:marTop w:val="0"/>
      <w:marBottom w:val="0"/>
      <w:divBdr>
        <w:top w:val="none" w:sz="0" w:space="0" w:color="auto"/>
        <w:left w:val="none" w:sz="0" w:space="0" w:color="auto"/>
        <w:bottom w:val="none" w:sz="0" w:space="0" w:color="auto"/>
        <w:right w:val="none" w:sz="0" w:space="0" w:color="auto"/>
      </w:divBdr>
    </w:div>
    <w:div w:id="1893299435">
      <w:bodyDiv w:val="1"/>
      <w:marLeft w:val="0"/>
      <w:marRight w:val="0"/>
      <w:marTop w:val="0"/>
      <w:marBottom w:val="0"/>
      <w:divBdr>
        <w:top w:val="none" w:sz="0" w:space="0" w:color="auto"/>
        <w:left w:val="none" w:sz="0" w:space="0" w:color="auto"/>
        <w:bottom w:val="none" w:sz="0" w:space="0" w:color="auto"/>
        <w:right w:val="none" w:sz="0" w:space="0" w:color="auto"/>
      </w:divBdr>
    </w:div>
    <w:div w:id="1894612646">
      <w:bodyDiv w:val="1"/>
      <w:marLeft w:val="0"/>
      <w:marRight w:val="0"/>
      <w:marTop w:val="0"/>
      <w:marBottom w:val="0"/>
      <w:divBdr>
        <w:top w:val="none" w:sz="0" w:space="0" w:color="auto"/>
        <w:left w:val="none" w:sz="0" w:space="0" w:color="auto"/>
        <w:bottom w:val="none" w:sz="0" w:space="0" w:color="auto"/>
        <w:right w:val="none" w:sz="0" w:space="0" w:color="auto"/>
      </w:divBdr>
    </w:div>
    <w:div w:id="1897813435">
      <w:bodyDiv w:val="1"/>
      <w:marLeft w:val="0"/>
      <w:marRight w:val="0"/>
      <w:marTop w:val="0"/>
      <w:marBottom w:val="0"/>
      <w:divBdr>
        <w:top w:val="none" w:sz="0" w:space="0" w:color="auto"/>
        <w:left w:val="none" w:sz="0" w:space="0" w:color="auto"/>
        <w:bottom w:val="none" w:sz="0" w:space="0" w:color="auto"/>
        <w:right w:val="none" w:sz="0" w:space="0" w:color="auto"/>
      </w:divBdr>
    </w:div>
    <w:div w:id="1897814677">
      <w:bodyDiv w:val="1"/>
      <w:marLeft w:val="0"/>
      <w:marRight w:val="0"/>
      <w:marTop w:val="0"/>
      <w:marBottom w:val="0"/>
      <w:divBdr>
        <w:top w:val="none" w:sz="0" w:space="0" w:color="auto"/>
        <w:left w:val="none" w:sz="0" w:space="0" w:color="auto"/>
        <w:bottom w:val="none" w:sz="0" w:space="0" w:color="auto"/>
        <w:right w:val="none" w:sz="0" w:space="0" w:color="auto"/>
      </w:divBdr>
    </w:div>
    <w:div w:id="1901673239">
      <w:bodyDiv w:val="1"/>
      <w:marLeft w:val="0"/>
      <w:marRight w:val="0"/>
      <w:marTop w:val="0"/>
      <w:marBottom w:val="0"/>
      <w:divBdr>
        <w:top w:val="none" w:sz="0" w:space="0" w:color="auto"/>
        <w:left w:val="none" w:sz="0" w:space="0" w:color="auto"/>
        <w:bottom w:val="none" w:sz="0" w:space="0" w:color="auto"/>
        <w:right w:val="none" w:sz="0" w:space="0" w:color="auto"/>
      </w:divBdr>
    </w:div>
    <w:div w:id="1902208651">
      <w:bodyDiv w:val="1"/>
      <w:marLeft w:val="0"/>
      <w:marRight w:val="0"/>
      <w:marTop w:val="0"/>
      <w:marBottom w:val="0"/>
      <w:divBdr>
        <w:top w:val="none" w:sz="0" w:space="0" w:color="auto"/>
        <w:left w:val="none" w:sz="0" w:space="0" w:color="auto"/>
        <w:bottom w:val="none" w:sz="0" w:space="0" w:color="auto"/>
        <w:right w:val="none" w:sz="0" w:space="0" w:color="auto"/>
      </w:divBdr>
    </w:div>
    <w:div w:id="1903323158">
      <w:bodyDiv w:val="1"/>
      <w:marLeft w:val="0"/>
      <w:marRight w:val="0"/>
      <w:marTop w:val="0"/>
      <w:marBottom w:val="0"/>
      <w:divBdr>
        <w:top w:val="none" w:sz="0" w:space="0" w:color="auto"/>
        <w:left w:val="none" w:sz="0" w:space="0" w:color="auto"/>
        <w:bottom w:val="none" w:sz="0" w:space="0" w:color="auto"/>
        <w:right w:val="none" w:sz="0" w:space="0" w:color="auto"/>
      </w:divBdr>
    </w:div>
    <w:div w:id="1903440642">
      <w:bodyDiv w:val="1"/>
      <w:marLeft w:val="0"/>
      <w:marRight w:val="0"/>
      <w:marTop w:val="0"/>
      <w:marBottom w:val="0"/>
      <w:divBdr>
        <w:top w:val="none" w:sz="0" w:space="0" w:color="auto"/>
        <w:left w:val="none" w:sz="0" w:space="0" w:color="auto"/>
        <w:bottom w:val="none" w:sz="0" w:space="0" w:color="auto"/>
        <w:right w:val="none" w:sz="0" w:space="0" w:color="auto"/>
      </w:divBdr>
    </w:div>
    <w:div w:id="1906062420">
      <w:bodyDiv w:val="1"/>
      <w:marLeft w:val="0"/>
      <w:marRight w:val="0"/>
      <w:marTop w:val="0"/>
      <w:marBottom w:val="0"/>
      <w:divBdr>
        <w:top w:val="none" w:sz="0" w:space="0" w:color="auto"/>
        <w:left w:val="none" w:sz="0" w:space="0" w:color="auto"/>
        <w:bottom w:val="none" w:sz="0" w:space="0" w:color="auto"/>
        <w:right w:val="none" w:sz="0" w:space="0" w:color="auto"/>
      </w:divBdr>
    </w:div>
    <w:div w:id="1906333693">
      <w:bodyDiv w:val="1"/>
      <w:marLeft w:val="0"/>
      <w:marRight w:val="0"/>
      <w:marTop w:val="0"/>
      <w:marBottom w:val="0"/>
      <w:divBdr>
        <w:top w:val="none" w:sz="0" w:space="0" w:color="auto"/>
        <w:left w:val="none" w:sz="0" w:space="0" w:color="auto"/>
        <w:bottom w:val="none" w:sz="0" w:space="0" w:color="auto"/>
        <w:right w:val="none" w:sz="0" w:space="0" w:color="auto"/>
      </w:divBdr>
    </w:div>
    <w:div w:id="1907032759">
      <w:bodyDiv w:val="1"/>
      <w:marLeft w:val="0"/>
      <w:marRight w:val="0"/>
      <w:marTop w:val="0"/>
      <w:marBottom w:val="0"/>
      <w:divBdr>
        <w:top w:val="none" w:sz="0" w:space="0" w:color="auto"/>
        <w:left w:val="none" w:sz="0" w:space="0" w:color="auto"/>
        <w:bottom w:val="none" w:sz="0" w:space="0" w:color="auto"/>
        <w:right w:val="none" w:sz="0" w:space="0" w:color="auto"/>
      </w:divBdr>
    </w:div>
    <w:div w:id="1907646418">
      <w:bodyDiv w:val="1"/>
      <w:marLeft w:val="0"/>
      <w:marRight w:val="0"/>
      <w:marTop w:val="0"/>
      <w:marBottom w:val="0"/>
      <w:divBdr>
        <w:top w:val="none" w:sz="0" w:space="0" w:color="auto"/>
        <w:left w:val="none" w:sz="0" w:space="0" w:color="auto"/>
        <w:bottom w:val="none" w:sz="0" w:space="0" w:color="auto"/>
        <w:right w:val="none" w:sz="0" w:space="0" w:color="auto"/>
      </w:divBdr>
    </w:div>
    <w:div w:id="1909878634">
      <w:bodyDiv w:val="1"/>
      <w:marLeft w:val="0"/>
      <w:marRight w:val="0"/>
      <w:marTop w:val="0"/>
      <w:marBottom w:val="0"/>
      <w:divBdr>
        <w:top w:val="none" w:sz="0" w:space="0" w:color="auto"/>
        <w:left w:val="none" w:sz="0" w:space="0" w:color="auto"/>
        <w:bottom w:val="none" w:sz="0" w:space="0" w:color="auto"/>
        <w:right w:val="none" w:sz="0" w:space="0" w:color="auto"/>
      </w:divBdr>
    </w:div>
    <w:div w:id="1914468265">
      <w:bodyDiv w:val="1"/>
      <w:marLeft w:val="0"/>
      <w:marRight w:val="0"/>
      <w:marTop w:val="0"/>
      <w:marBottom w:val="0"/>
      <w:divBdr>
        <w:top w:val="none" w:sz="0" w:space="0" w:color="auto"/>
        <w:left w:val="none" w:sz="0" w:space="0" w:color="auto"/>
        <w:bottom w:val="none" w:sz="0" w:space="0" w:color="auto"/>
        <w:right w:val="none" w:sz="0" w:space="0" w:color="auto"/>
      </w:divBdr>
    </w:div>
    <w:div w:id="1915553690">
      <w:bodyDiv w:val="1"/>
      <w:marLeft w:val="0"/>
      <w:marRight w:val="0"/>
      <w:marTop w:val="0"/>
      <w:marBottom w:val="0"/>
      <w:divBdr>
        <w:top w:val="none" w:sz="0" w:space="0" w:color="auto"/>
        <w:left w:val="none" w:sz="0" w:space="0" w:color="auto"/>
        <w:bottom w:val="none" w:sz="0" w:space="0" w:color="auto"/>
        <w:right w:val="none" w:sz="0" w:space="0" w:color="auto"/>
      </w:divBdr>
    </w:div>
    <w:div w:id="1916087115">
      <w:bodyDiv w:val="1"/>
      <w:marLeft w:val="0"/>
      <w:marRight w:val="0"/>
      <w:marTop w:val="0"/>
      <w:marBottom w:val="0"/>
      <w:divBdr>
        <w:top w:val="none" w:sz="0" w:space="0" w:color="auto"/>
        <w:left w:val="none" w:sz="0" w:space="0" w:color="auto"/>
        <w:bottom w:val="none" w:sz="0" w:space="0" w:color="auto"/>
        <w:right w:val="none" w:sz="0" w:space="0" w:color="auto"/>
      </w:divBdr>
    </w:div>
    <w:div w:id="1922443375">
      <w:bodyDiv w:val="1"/>
      <w:marLeft w:val="0"/>
      <w:marRight w:val="0"/>
      <w:marTop w:val="0"/>
      <w:marBottom w:val="0"/>
      <w:divBdr>
        <w:top w:val="none" w:sz="0" w:space="0" w:color="auto"/>
        <w:left w:val="none" w:sz="0" w:space="0" w:color="auto"/>
        <w:bottom w:val="none" w:sz="0" w:space="0" w:color="auto"/>
        <w:right w:val="none" w:sz="0" w:space="0" w:color="auto"/>
      </w:divBdr>
    </w:div>
    <w:div w:id="1924531755">
      <w:bodyDiv w:val="1"/>
      <w:marLeft w:val="0"/>
      <w:marRight w:val="0"/>
      <w:marTop w:val="0"/>
      <w:marBottom w:val="0"/>
      <w:divBdr>
        <w:top w:val="none" w:sz="0" w:space="0" w:color="auto"/>
        <w:left w:val="none" w:sz="0" w:space="0" w:color="auto"/>
        <w:bottom w:val="none" w:sz="0" w:space="0" w:color="auto"/>
        <w:right w:val="none" w:sz="0" w:space="0" w:color="auto"/>
      </w:divBdr>
    </w:div>
    <w:div w:id="1927760137">
      <w:bodyDiv w:val="1"/>
      <w:marLeft w:val="0"/>
      <w:marRight w:val="0"/>
      <w:marTop w:val="0"/>
      <w:marBottom w:val="0"/>
      <w:divBdr>
        <w:top w:val="none" w:sz="0" w:space="0" w:color="auto"/>
        <w:left w:val="none" w:sz="0" w:space="0" w:color="auto"/>
        <w:bottom w:val="none" w:sz="0" w:space="0" w:color="auto"/>
        <w:right w:val="none" w:sz="0" w:space="0" w:color="auto"/>
      </w:divBdr>
    </w:div>
    <w:div w:id="1930768271">
      <w:bodyDiv w:val="1"/>
      <w:marLeft w:val="0"/>
      <w:marRight w:val="0"/>
      <w:marTop w:val="0"/>
      <w:marBottom w:val="0"/>
      <w:divBdr>
        <w:top w:val="none" w:sz="0" w:space="0" w:color="auto"/>
        <w:left w:val="none" w:sz="0" w:space="0" w:color="auto"/>
        <w:bottom w:val="none" w:sz="0" w:space="0" w:color="auto"/>
        <w:right w:val="none" w:sz="0" w:space="0" w:color="auto"/>
      </w:divBdr>
    </w:div>
    <w:div w:id="1931115292">
      <w:bodyDiv w:val="1"/>
      <w:marLeft w:val="0"/>
      <w:marRight w:val="0"/>
      <w:marTop w:val="0"/>
      <w:marBottom w:val="0"/>
      <w:divBdr>
        <w:top w:val="none" w:sz="0" w:space="0" w:color="auto"/>
        <w:left w:val="none" w:sz="0" w:space="0" w:color="auto"/>
        <w:bottom w:val="none" w:sz="0" w:space="0" w:color="auto"/>
        <w:right w:val="none" w:sz="0" w:space="0" w:color="auto"/>
      </w:divBdr>
    </w:div>
    <w:div w:id="1931423197">
      <w:bodyDiv w:val="1"/>
      <w:marLeft w:val="0"/>
      <w:marRight w:val="0"/>
      <w:marTop w:val="0"/>
      <w:marBottom w:val="0"/>
      <w:divBdr>
        <w:top w:val="none" w:sz="0" w:space="0" w:color="auto"/>
        <w:left w:val="none" w:sz="0" w:space="0" w:color="auto"/>
        <w:bottom w:val="none" w:sz="0" w:space="0" w:color="auto"/>
        <w:right w:val="none" w:sz="0" w:space="0" w:color="auto"/>
      </w:divBdr>
    </w:div>
    <w:div w:id="1932734439">
      <w:bodyDiv w:val="1"/>
      <w:marLeft w:val="0"/>
      <w:marRight w:val="0"/>
      <w:marTop w:val="0"/>
      <w:marBottom w:val="0"/>
      <w:divBdr>
        <w:top w:val="none" w:sz="0" w:space="0" w:color="auto"/>
        <w:left w:val="none" w:sz="0" w:space="0" w:color="auto"/>
        <w:bottom w:val="none" w:sz="0" w:space="0" w:color="auto"/>
        <w:right w:val="none" w:sz="0" w:space="0" w:color="auto"/>
      </w:divBdr>
    </w:div>
    <w:div w:id="1933009870">
      <w:bodyDiv w:val="1"/>
      <w:marLeft w:val="0"/>
      <w:marRight w:val="0"/>
      <w:marTop w:val="0"/>
      <w:marBottom w:val="0"/>
      <w:divBdr>
        <w:top w:val="none" w:sz="0" w:space="0" w:color="auto"/>
        <w:left w:val="none" w:sz="0" w:space="0" w:color="auto"/>
        <w:bottom w:val="none" w:sz="0" w:space="0" w:color="auto"/>
        <w:right w:val="none" w:sz="0" w:space="0" w:color="auto"/>
      </w:divBdr>
    </w:div>
    <w:div w:id="1940676826">
      <w:bodyDiv w:val="1"/>
      <w:marLeft w:val="0"/>
      <w:marRight w:val="0"/>
      <w:marTop w:val="0"/>
      <w:marBottom w:val="0"/>
      <w:divBdr>
        <w:top w:val="none" w:sz="0" w:space="0" w:color="auto"/>
        <w:left w:val="none" w:sz="0" w:space="0" w:color="auto"/>
        <w:bottom w:val="none" w:sz="0" w:space="0" w:color="auto"/>
        <w:right w:val="none" w:sz="0" w:space="0" w:color="auto"/>
      </w:divBdr>
    </w:div>
    <w:div w:id="1941720447">
      <w:bodyDiv w:val="1"/>
      <w:marLeft w:val="0"/>
      <w:marRight w:val="0"/>
      <w:marTop w:val="0"/>
      <w:marBottom w:val="0"/>
      <w:divBdr>
        <w:top w:val="none" w:sz="0" w:space="0" w:color="auto"/>
        <w:left w:val="none" w:sz="0" w:space="0" w:color="auto"/>
        <w:bottom w:val="none" w:sz="0" w:space="0" w:color="auto"/>
        <w:right w:val="none" w:sz="0" w:space="0" w:color="auto"/>
      </w:divBdr>
    </w:div>
    <w:div w:id="1946031728">
      <w:bodyDiv w:val="1"/>
      <w:marLeft w:val="0"/>
      <w:marRight w:val="0"/>
      <w:marTop w:val="0"/>
      <w:marBottom w:val="0"/>
      <w:divBdr>
        <w:top w:val="none" w:sz="0" w:space="0" w:color="auto"/>
        <w:left w:val="none" w:sz="0" w:space="0" w:color="auto"/>
        <w:bottom w:val="none" w:sz="0" w:space="0" w:color="auto"/>
        <w:right w:val="none" w:sz="0" w:space="0" w:color="auto"/>
      </w:divBdr>
    </w:div>
    <w:div w:id="1946233138">
      <w:bodyDiv w:val="1"/>
      <w:marLeft w:val="0"/>
      <w:marRight w:val="0"/>
      <w:marTop w:val="0"/>
      <w:marBottom w:val="0"/>
      <w:divBdr>
        <w:top w:val="none" w:sz="0" w:space="0" w:color="auto"/>
        <w:left w:val="none" w:sz="0" w:space="0" w:color="auto"/>
        <w:bottom w:val="none" w:sz="0" w:space="0" w:color="auto"/>
        <w:right w:val="none" w:sz="0" w:space="0" w:color="auto"/>
      </w:divBdr>
    </w:div>
    <w:div w:id="1955599460">
      <w:bodyDiv w:val="1"/>
      <w:marLeft w:val="0"/>
      <w:marRight w:val="0"/>
      <w:marTop w:val="0"/>
      <w:marBottom w:val="0"/>
      <w:divBdr>
        <w:top w:val="none" w:sz="0" w:space="0" w:color="auto"/>
        <w:left w:val="none" w:sz="0" w:space="0" w:color="auto"/>
        <w:bottom w:val="none" w:sz="0" w:space="0" w:color="auto"/>
        <w:right w:val="none" w:sz="0" w:space="0" w:color="auto"/>
      </w:divBdr>
    </w:div>
    <w:div w:id="1958371876">
      <w:bodyDiv w:val="1"/>
      <w:marLeft w:val="0"/>
      <w:marRight w:val="0"/>
      <w:marTop w:val="0"/>
      <w:marBottom w:val="0"/>
      <w:divBdr>
        <w:top w:val="none" w:sz="0" w:space="0" w:color="auto"/>
        <w:left w:val="none" w:sz="0" w:space="0" w:color="auto"/>
        <w:bottom w:val="none" w:sz="0" w:space="0" w:color="auto"/>
        <w:right w:val="none" w:sz="0" w:space="0" w:color="auto"/>
      </w:divBdr>
    </w:div>
    <w:div w:id="1958946458">
      <w:bodyDiv w:val="1"/>
      <w:marLeft w:val="0"/>
      <w:marRight w:val="0"/>
      <w:marTop w:val="0"/>
      <w:marBottom w:val="0"/>
      <w:divBdr>
        <w:top w:val="none" w:sz="0" w:space="0" w:color="auto"/>
        <w:left w:val="none" w:sz="0" w:space="0" w:color="auto"/>
        <w:bottom w:val="none" w:sz="0" w:space="0" w:color="auto"/>
        <w:right w:val="none" w:sz="0" w:space="0" w:color="auto"/>
      </w:divBdr>
    </w:div>
    <w:div w:id="1959602626">
      <w:bodyDiv w:val="1"/>
      <w:marLeft w:val="0"/>
      <w:marRight w:val="0"/>
      <w:marTop w:val="0"/>
      <w:marBottom w:val="0"/>
      <w:divBdr>
        <w:top w:val="none" w:sz="0" w:space="0" w:color="auto"/>
        <w:left w:val="none" w:sz="0" w:space="0" w:color="auto"/>
        <w:bottom w:val="none" w:sz="0" w:space="0" w:color="auto"/>
        <w:right w:val="none" w:sz="0" w:space="0" w:color="auto"/>
      </w:divBdr>
    </w:div>
    <w:div w:id="1968704689">
      <w:bodyDiv w:val="1"/>
      <w:marLeft w:val="0"/>
      <w:marRight w:val="0"/>
      <w:marTop w:val="0"/>
      <w:marBottom w:val="0"/>
      <w:divBdr>
        <w:top w:val="none" w:sz="0" w:space="0" w:color="auto"/>
        <w:left w:val="none" w:sz="0" w:space="0" w:color="auto"/>
        <w:bottom w:val="none" w:sz="0" w:space="0" w:color="auto"/>
        <w:right w:val="none" w:sz="0" w:space="0" w:color="auto"/>
      </w:divBdr>
    </w:div>
    <w:div w:id="1970040669">
      <w:bodyDiv w:val="1"/>
      <w:marLeft w:val="0"/>
      <w:marRight w:val="0"/>
      <w:marTop w:val="0"/>
      <w:marBottom w:val="0"/>
      <w:divBdr>
        <w:top w:val="none" w:sz="0" w:space="0" w:color="auto"/>
        <w:left w:val="none" w:sz="0" w:space="0" w:color="auto"/>
        <w:bottom w:val="none" w:sz="0" w:space="0" w:color="auto"/>
        <w:right w:val="none" w:sz="0" w:space="0" w:color="auto"/>
      </w:divBdr>
    </w:div>
    <w:div w:id="1973367787">
      <w:bodyDiv w:val="1"/>
      <w:marLeft w:val="0"/>
      <w:marRight w:val="0"/>
      <w:marTop w:val="0"/>
      <w:marBottom w:val="0"/>
      <w:divBdr>
        <w:top w:val="none" w:sz="0" w:space="0" w:color="auto"/>
        <w:left w:val="none" w:sz="0" w:space="0" w:color="auto"/>
        <w:bottom w:val="none" w:sz="0" w:space="0" w:color="auto"/>
        <w:right w:val="none" w:sz="0" w:space="0" w:color="auto"/>
      </w:divBdr>
    </w:div>
    <w:div w:id="1976526963">
      <w:bodyDiv w:val="1"/>
      <w:marLeft w:val="0"/>
      <w:marRight w:val="0"/>
      <w:marTop w:val="0"/>
      <w:marBottom w:val="0"/>
      <w:divBdr>
        <w:top w:val="none" w:sz="0" w:space="0" w:color="auto"/>
        <w:left w:val="none" w:sz="0" w:space="0" w:color="auto"/>
        <w:bottom w:val="none" w:sz="0" w:space="0" w:color="auto"/>
        <w:right w:val="none" w:sz="0" w:space="0" w:color="auto"/>
      </w:divBdr>
    </w:div>
    <w:div w:id="1978410431">
      <w:bodyDiv w:val="1"/>
      <w:marLeft w:val="0"/>
      <w:marRight w:val="0"/>
      <w:marTop w:val="0"/>
      <w:marBottom w:val="0"/>
      <w:divBdr>
        <w:top w:val="none" w:sz="0" w:space="0" w:color="auto"/>
        <w:left w:val="none" w:sz="0" w:space="0" w:color="auto"/>
        <w:bottom w:val="none" w:sz="0" w:space="0" w:color="auto"/>
        <w:right w:val="none" w:sz="0" w:space="0" w:color="auto"/>
      </w:divBdr>
    </w:div>
    <w:div w:id="1978994770">
      <w:bodyDiv w:val="1"/>
      <w:marLeft w:val="0"/>
      <w:marRight w:val="0"/>
      <w:marTop w:val="0"/>
      <w:marBottom w:val="0"/>
      <w:divBdr>
        <w:top w:val="none" w:sz="0" w:space="0" w:color="auto"/>
        <w:left w:val="none" w:sz="0" w:space="0" w:color="auto"/>
        <w:bottom w:val="none" w:sz="0" w:space="0" w:color="auto"/>
        <w:right w:val="none" w:sz="0" w:space="0" w:color="auto"/>
      </w:divBdr>
    </w:div>
    <w:div w:id="1981184751">
      <w:bodyDiv w:val="1"/>
      <w:marLeft w:val="0"/>
      <w:marRight w:val="0"/>
      <w:marTop w:val="0"/>
      <w:marBottom w:val="0"/>
      <w:divBdr>
        <w:top w:val="none" w:sz="0" w:space="0" w:color="auto"/>
        <w:left w:val="none" w:sz="0" w:space="0" w:color="auto"/>
        <w:bottom w:val="none" w:sz="0" w:space="0" w:color="auto"/>
        <w:right w:val="none" w:sz="0" w:space="0" w:color="auto"/>
      </w:divBdr>
    </w:div>
    <w:div w:id="1981768259">
      <w:bodyDiv w:val="1"/>
      <w:marLeft w:val="0"/>
      <w:marRight w:val="0"/>
      <w:marTop w:val="0"/>
      <w:marBottom w:val="0"/>
      <w:divBdr>
        <w:top w:val="none" w:sz="0" w:space="0" w:color="auto"/>
        <w:left w:val="none" w:sz="0" w:space="0" w:color="auto"/>
        <w:bottom w:val="none" w:sz="0" w:space="0" w:color="auto"/>
        <w:right w:val="none" w:sz="0" w:space="0" w:color="auto"/>
      </w:divBdr>
    </w:div>
    <w:div w:id="1988627325">
      <w:bodyDiv w:val="1"/>
      <w:marLeft w:val="0"/>
      <w:marRight w:val="0"/>
      <w:marTop w:val="0"/>
      <w:marBottom w:val="0"/>
      <w:divBdr>
        <w:top w:val="none" w:sz="0" w:space="0" w:color="auto"/>
        <w:left w:val="none" w:sz="0" w:space="0" w:color="auto"/>
        <w:bottom w:val="none" w:sz="0" w:space="0" w:color="auto"/>
        <w:right w:val="none" w:sz="0" w:space="0" w:color="auto"/>
      </w:divBdr>
    </w:div>
    <w:div w:id="1993018834">
      <w:bodyDiv w:val="1"/>
      <w:marLeft w:val="0"/>
      <w:marRight w:val="0"/>
      <w:marTop w:val="0"/>
      <w:marBottom w:val="0"/>
      <w:divBdr>
        <w:top w:val="none" w:sz="0" w:space="0" w:color="auto"/>
        <w:left w:val="none" w:sz="0" w:space="0" w:color="auto"/>
        <w:bottom w:val="none" w:sz="0" w:space="0" w:color="auto"/>
        <w:right w:val="none" w:sz="0" w:space="0" w:color="auto"/>
      </w:divBdr>
    </w:div>
    <w:div w:id="1994916145">
      <w:bodyDiv w:val="1"/>
      <w:marLeft w:val="0"/>
      <w:marRight w:val="0"/>
      <w:marTop w:val="0"/>
      <w:marBottom w:val="0"/>
      <w:divBdr>
        <w:top w:val="none" w:sz="0" w:space="0" w:color="auto"/>
        <w:left w:val="none" w:sz="0" w:space="0" w:color="auto"/>
        <w:bottom w:val="none" w:sz="0" w:space="0" w:color="auto"/>
        <w:right w:val="none" w:sz="0" w:space="0" w:color="auto"/>
      </w:divBdr>
    </w:div>
    <w:div w:id="1995639119">
      <w:bodyDiv w:val="1"/>
      <w:marLeft w:val="0"/>
      <w:marRight w:val="0"/>
      <w:marTop w:val="0"/>
      <w:marBottom w:val="0"/>
      <w:divBdr>
        <w:top w:val="none" w:sz="0" w:space="0" w:color="auto"/>
        <w:left w:val="none" w:sz="0" w:space="0" w:color="auto"/>
        <w:bottom w:val="none" w:sz="0" w:space="0" w:color="auto"/>
        <w:right w:val="none" w:sz="0" w:space="0" w:color="auto"/>
      </w:divBdr>
    </w:div>
    <w:div w:id="1995910325">
      <w:bodyDiv w:val="1"/>
      <w:marLeft w:val="0"/>
      <w:marRight w:val="0"/>
      <w:marTop w:val="0"/>
      <w:marBottom w:val="0"/>
      <w:divBdr>
        <w:top w:val="none" w:sz="0" w:space="0" w:color="auto"/>
        <w:left w:val="none" w:sz="0" w:space="0" w:color="auto"/>
        <w:bottom w:val="none" w:sz="0" w:space="0" w:color="auto"/>
        <w:right w:val="none" w:sz="0" w:space="0" w:color="auto"/>
      </w:divBdr>
    </w:div>
    <w:div w:id="2000763786">
      <w:bodyDiv w:val="1"/>
      <w:marLeft w:val="0"/>
      <w:marRight w:val="0"/>
      <w:marTop w:val="0"/>
      <w:marBottom w:val="0"/>
      <w:divBdr>
        <w:top w:val="none" w:sz="0" w:space="0" w:color="auto"/>
        <w:left w:val="none" w:sz="0" w:space="0" w:color="auto"/>
        <w:bottom w:val="none" w:sz="0" w:space="0" w:color="auto"/>
        <w:right w:val="none" w:sz="0" w:space="0" w:color="auto"/>
      </w:divBdr>
    </w:div>
    <w:div w:id="2001035816">
      <w:bodyDiv w:val="1"/>
      <w:marLeft w:val="0"/>
      <w:marRight w:val="0"/>
      <w:marTop w:val="0"/>
      <w:marBottom w:val="0"/>
      <w:divBdr>
        <w:top w:val="none" w:sz="0" w:space="0" w:color="auto"/>
        <w:left w:val="none" w:sz="0" w:space="0" w:color="auto"/>
        <w:bottom w:val="none" w:sz="0" w:space="0" w:color="auto"/>
        <w:right w:val="none" w:sz="0" w:space="0" w:color="auto"/>
      </w:divBdr>
    </w:div>
    <w:div w:id="2010062364">
      <w:bodyDiv w:val="1"/>
      <w:marLeft w:val="0"/>
      <w:marRight w:val="0"/>
      <w:marTop w:val="0"/>
      <w:marBottom w:val="0"/>
      <w:divBdr>
        <w:top w:val="none" w:sz="0" w:space="0" w:color="auto"/>
        <w:left w:val="none" w:sz="0" w:space="0" w:color="auto"/>
        <w:bottom w:val="none" w:sz="0" w:space="0" w:color="auto"/>
        <w:right w:val="none" w:sz="0" w:space="0" w:color="auto"/>
      </w:divBdr>
    </w:div>
    <w:div w:id="2010256239">
      <w:bodyDiv w:val="1"/>
      <w:marLeft w:val="0"/>
      <w:marRight w:val="0"/>
      <w:marTop w:val="0"/>
      <w:marBottom w:val="0"/>
      <w:divBdr>
        <w:top w:val="none" w:sz="0" w:space="0" w:color="auto"/>
        <w:left w:val="none" w:sz="0" w:space="0" w:color="auto"/>
        <w:bottom w:val="none" w:sz="0" w:space="0" w:color="auto"/>
        <w:right w:val="none" w:sz="0" w:space="0" w:color="auto"/>
      </w:divBdr>
    </w:div>
    <w:div w:id="2012947398">
      <w:bodyDiv w:val="1"/>
      <w:marLeft w:val="0"/>
      <w:marRight w:val="0"/>
      <w:marTop w:val="0"/>
      <w:marBottom w:val="0"/>
      <w:divBdr>
        <w:top w:val="none" w:sz="0" w:space="0" w:color="auto"/>
        <w:left w:val="none" w:sz="0" w:space="0" w:color="auto"/>
        <w:bottom w:val="none" w:sz="0" w:space="0" w:color="auto"/>
        <w:right w:val="none" w:sz="0" w:space="0" w:color="auto"/>
      </w:divBdr>
    </w:div>
    <w:div w:id="2015448866">
      <w:bodyDiv w:val="1"/>
      <w:marLeft w:val="0"/>
      <w:marRight w:val="0"/>
      <w:marTop w:val="0"/>
      <w:marBottom w:val="0"/>
      <w:divBdr>
        <w:top w:val="none" w:sz="0" w:space="0" w:color="auto"/>
        <w:left w:val="none" w:sz="0" w:space="0" w:color="auto"/>
        <w:bottom w:val="none" w:sz="0" w:space="0" w:color="auto"/>
        <w:right w:val="none" w:sz="0" w:space="0" w:color="auto"/>
      </w:divBdr>
    </w:div>
    <w:div w:id="2023237435">
      <w:bodyDiv w:val="1"/>
      <w:marLeft w:val="0"/>
      <w:marRight w:val="0"/>
      <w:marTop w:val="0"/>
      <w:marBottom w:val="0"/>
      <w:divBdr>
        <w:top w:val="none" w:sz="0" w:space="0" w:color="auto"/>
        <w:left w:val="none" w:sz="0" w:space="0" w:color="auto"/>
        <w:bottom w:val="none" w:sz="0" w:space="0" w:color="auto"/>
        <w:right w:val="none" w:sz="0" w:space="0" w:color="auto"/>
      </w:divBdr>
    </w:div>
    <w:div w:id="2023897413">
      <w:bodyDiv w:val="1"/>
      <w:marLeft w:val="0"/>
      <w:marRight w:val="0"/>
      <w:marTop w:val="0"/>
      <w:marBottom w:val="0"/>
      <w:divBdr>
        <w:top w:val="none" w:sz="0" w:space="0" w:color="auto"/>
        <w:left w:val="none" w:sz="0" w:space="0" w:color="auto"/>
        <w:bottom w:val="none" w:sz="0" w:space="0" w:color="auto"/>
        <w:right w:val="none" w:sz="0" w:space="0" w:color="auto"/>
      </w:divBdr>
    </w:div>
    <w:div w:id="2027176140">
      <w:bodyDiv w:val="1"/>
      <w:marLeft w:val="0"/>
      <w:marRight w:val="0"/>
      <w:marTop w:val="0"/>
      <w:marBottom w:val="0"/>
      <w:divBdr>
        <w:top w:val="none" w:sz="0" w:space="0" w:color="auto"/>
        <w:left w:val="none" w:sz="0" w:space="0" w:color="auto"/>
        <w:bottom w:val="none" w:sz="0" w:space="0" w:color="auto"/>
        <w:right w:val="none" w:sz="0" w:space="0" w:color="auto"/>
      </w:divBdr>
    </w:div>
    <w:div w:id="2028168546">
      <w:bodyDiv w:val="1"/>
      <w:marLeft w:val="0"/>
      <w:marRight w:val="0"/>
      <w:marTop w:val="0"/>
      <w:marBottom w:val="0"/>
      <w:divBdr>
        <w:top w:val="none" w:sz="0" w:space="0" w:color="auto"/>
        <w:left w:val="none" w:sz="0" w:space="0" w:color="auto"/>
        <w:bottom w:val="none" w:sz="0" w:space="0" w:color="auto"/>
        <w:right w:val="none" w:sz="0" w:space="0" w:color="auto"/>
      </w:divBdr>
    </w:div>
    <w:div w:id="2032216508">
      <w:bodyDiv w:val="1"/>
      <w:marLeft w:val="0"/>
      <w:marRight w:val="0"/>
      <w:marTop w:val="0"/>
      <w:marBottom w:val="0"/>
      <w:divBdr>
        <w:top w:val="none" w:sz="0" w:space="0" w:color="auto"/>
        <w:left w:val="none" w:sz="0" w:space="0" w:color="auto"/>
        <w:bottom w:val="none" w:sz="0" w:space="0" w:color="auto"/>
        <w:right w:val="none" w:sz="0" w:space="0" w:color="auto"/>
      </w:divBdr>
    </w:div>
    <w:div w:id="2034259818">
      <w:bodyDiv w:val="1"/>
      <w:marLeft w:val="0"/>
      <w:marRight w:val="0"/>
      <w:marTop w:val="0"/>
      <w:marBottom w:val="0"/>
      <w:divBdr>
        <w:top w:val="none" w:sz="0" w:space="0" w:color="auto"/>
        <w:left w:val="none" w:sz="0" w:space="0" w:color="auto"/>
        <w:bottom w:val="none" w:sz="0" w:space="0" w:color="auto"/>
        <w:right w:val="none" w:sz="0" w:space="0" w:color="auto"/>
      </w:divBdr>
    </w:div>
    <w:div w:id="2034720912">
      <w:bodyDiv w:val="1"/>
      <w:marLeft w:val="0"/>
      <w:marRight w:val="0"/>
      <w:marTop w:val="0"/>
      <w:marBottom w:val="0"/>
      <w:divBdr>
        <w:top w:val="none" w:sz="0" w:space="0" w:color="auto"/>
        <w:left w:val="none" w:sz="0" w:space="0" w:color="auto"/>
        <w:bottom w:val="none" w:sz="0" w:space="0" w:color="auto"/>
        <w:right w:val="none" w:sz="0" w:space="0" w:color="auto"/>
      </w:divBdr>
    </w:div>
    <w:div w:id="2036928123">
      <w:bodyDiv w:val="1"/>
      <w:marLeft w:val="0"/>
      <w:marRight w:val="0"/>
      <w:marTop w:val="0"/>
      <w:marBottom w:val="0"/>
      <w:divBdr>
        <w:top w:val="none" w:sz="0" w:space="0" w:color="auto"/>
        <w:left w:val="none" w:sz="0" w:space="0" w:color="auto"/>
        <w:bottom w:val="none" w:sz="0" w:space="0" w:color="auto"/>
        <w:right w:val="none" w:sz="0" w:space="0" w:color="auto"/>
      </w:divBdr>
    </w:div>
    <w:div w:id="2041130152">
      <w:bodyDiv w:val="1"/>
      <w:marLeft w:val="0"/>
      <w:marRight w:val="0"/>
      <w:marTop w:val="0"/>
      <w:marBottom w:val="0"/>
      <w:divBdr>
        <w:top w:val="none" w:sz="0" w:space="0" w:color="auto"/>
        <w:left w:val="none" w:sz="0" w:space="0" w:color="auto"/>
        <w:bottom w:val="none" w:sz="0" w:space="0" w:color="auto"/>
        <w:right w:val="none" w:sz="0" w:space="0" w:color="auto"/>
      </w:divBdr>
    </w:div>
    <w:div w:id="2042364738">
      <w:bodyDiv w:val="1"/>
      <w:marLeft w:val="0"/>
      <w:marRight w:val="0"/>
      <w:marTop w:val="0"/>
      <w:marBottom w:val="0"/>
      <w:divBdr>
        <w:top w:val="none" w:sz="0" w:space="0" w:color="auto"/>
        <w:left w:val="none" w:sz="0" w:space="0" w:color="auto"/>
        <w:bottom w:val="none" w:sz="0" w:space="0" w:color="auto"/>
        <w:right w:val="none" w:sz="0" w:space="0" w:color="auto"/>
      </w:divBdr>
    </w:div>
    <w:div w:id="2043282402">
      <w:bodyDiv w:val="1"/>
      <w:marLeft w:val="0"/>
      <w:marRight w:val="0"/>
      <w:marTop w:val="0"/>
      <w:marBottom w:val="0"/>
      <w:divBdr>
        <w:top w:val="none" w:sz="0" w:space="0" w:color="auto"/>
        <w:left w:val="none" w:sz="0" w:space="0" w:color="auto"/>
        <w:bottom w:val="none" w:sz="0" w:space="0" w:color="auto"/>
        <w:right w:val="none" w:sz="0" w:space="0" w:color="auto"/>
      </w:divBdr>
    </w:div>
    <w:div w:id="2047288581">
      <w:bodyDiv w:val="1"/>
      <w:marLeft w:val="0"/>
      <w:marRight w:val="0"/>
      <w:marTop w:val="0"/>
      <w:marBottom w:val="0"/>
      <w:divBdr>
        <w:top w:val="none" w:sz="0" w:space="0" w:color="auto"/>
        <w:left w:val="none" w:sz="0" w:space="0" w:color="auto"/>
        <w:bottom w:val="none" w:sz="0" w:space="0" w:color="auto"/>
        <w:right w:val="none" w:sz="0" w:space="0" w:color="auto"/>
      </w:divBdr>
    </w:div>
    <w:div w:id="2048068629">
      <w:bodyDiv w:val="1"/>
      <w:marLeft w:val="0"/>
      <w:marRight w:val="0"/>
      <w:marTop w:val="0"/>
      <w:marBottom w:val="0"/>
      <w:divBdr>
        <w:top w:val="none" w:sz="0" w:space="0" w:color="auto"/>
        <w:left w:val="none" w:sz="0" w:space="0" w:color="auto"/>
        <w:bottom w:val="none" w:sz="0" w:space="0" w:color="auto"/>
        <w:right w:val="none" w:sz="0" w:space="0" w:color="auto"/>
      </w:divBdr>
    </w:div>
    <w:div w:id="2049529390">
      <w:bodyDiv w:val="1"/>
      <w:marLeft w:val="0"/>
      <w:marRight w:val="0"/>
      <w:marTop w:val="0"/>
      <w:marBottom w:val="0"/>
      <w:divBdr>
        <w:top w:val="none" w:sz="0" w:space="0" w:color="auto"/>
        <w:left w:val="none" w:sz="0" w:space="0" w:color="auto"/>
        <w:bottom w:val="none" w:sz="0" w:space="0" w:color="auto"/>
        <w:right w:val="none" w:sz="0" w:space="0" w:color="auto"/>
      </w:divBdr>
    </w:div>
    <w:div w:id="2052874557">
      <w:bodyDiv w:val="1"/>
      <w:marLeft w:val="0"/>
      <w:marRight w:val="0"/>
      <w:marTop w:val="0"/>
      <w:marBottom w:val="0"/>
      <w:divBdr>
        <w:top w:val="none" w:sz="0" w:space="0" w:color="auto"/>
        <w:left w:val="none" w:sz="0" w:space="0" w:color="auto"/>
        <w:bottom w:val="none" w:sz="0" w:space="0" w:color="auto"/>
        <w:right w:val="none" w:sz="0" w:space="0" w:color="auto"/>
      </w:divBdr>
    </w:div>
    <w:div w:id="2054692823">
      <w:bodyDiv w:val="1"/>
      <w:marLeft w:val="0"/>
      <w:marRight w:val="0"/>
      <w:marTop w:val="0"/>
      <w:marBottom w:val="0"/>
      <w:divBdr>
        <w:top w:val="none" w:sz="0" w:space="0" w:color="auto"/>
        <w:left w:val="none" w:sz="0" w:space="0" w:color="auto"/>
        <w:bottom w:val="none" w:sz="0" w:space="0" w:color="auto"/>
        <w:right w:val="none" w:sz="0" w:space="0" w:color="auto"/>
      </w:divBdr>
    </w:div>
    <w:div w:id="2055421153">
      <w:bodyDiv w:val="1"/>
      <w:marLeft w:val="0"/>
      <w:marRight w:val="0"/>
      <w:marTop w:val="0"/>
      <w:marBottom w:val="0"/>
      <w:divBdr>
        <w:top w:val="none" w:sz="0" w:space="0" w:color="auto"/>
        <w:left w:val="none" w:sz="0" w:space="0" w:color="auto"/>
        <w:bottom w:val="none" w:sz="0" w:space="0" w:color="auto"/>
        <w:right w:val="none" w:sz="0" w:space="0" w:color="auto"/>
      </w:divBdr>
    </w:div>
    <w:div w:id="2057584038">
      <w:bodyDiv w:val="1"/>
      <w:marLeft w:val="0"/>
      <w:marRight w:val="0"/>
      <w:marTop w:val="0"/>
      <w:marBottom w:val="0"/>
      <w:divBdr>
        <w:top w:val="none" w:sz="0" w:space="0" w:color="auto"/>
        <w:left w:val="none" w:sz="0" w:space="0" w:color="auto"/>
        <w:bottom w:val="none" w:sz="0" w:space="0" w:color="auto"/>
        <w:right w:val="none" w:sz="0" w:space="0" w:color="auto"/>
      </w:divBdr>
    </w:div>
    <w:div w:id="2059015989">
      <w:bodyDiv w:val="1"/>
      <w:marLeft w:val="0"/>
      <w:marRight w:val="0"/>
      <w:marTop w:val="0"/>
      <w:marBottom w:val="0"/>
      <w:divBdr>
        <w:top w:val="none" w:sz="0" w:space="0" w:color="auto"/>
        <w:left w:val="none" w:sz="0" w:space="0" w:color="auto"/>
        <w:bottom w:val="none" w:sz="0" w:space="0" w:color="auto"/>
        <w:right w:val="none" w:sz="0" w:space="0" w:color="auto"/>
      </w:divBdr>
    </w:div>
    <w:div w:id="2061590681">
      <w:bodyDiv w:val="1"/>
      <w:marLeft w:val="0"/>
      <w:marRight w:val="0"/>
      <w:marTop w:val="0"/>
      <w:marBottom w:val="0"/>
      <w:divBdr>
        <w:top w:val="none" w:sz="0" w:space="0" w:color="auto"/>
        <w:left w:val="none" w:sz="0" w:space="0" w:color="auto"/>
        <w:bottom w:val="none" w:sz="0" w:space="0" w:color="auto"/>
        <w:right w:val="none" w:sz="0" w:space="0" w:color="auto"/>
      </w:divBdr>
    </w:div>
    <w:div w:id="2068409476">
      <w:bodyDiv w:val="1"/>
      <w:marLeft w:val="0"/>
      <w:marRight w:val="0"/>
      <w:marTop w:val="0"/>
      <w:marBottom w:val="0"/>
      <w:divBdr>
        <w:top w:val="none" w:sz="0" w:space="0" w:color="auto"/>
        <w:left w:val="none" w:sz="0" w:space="0" w:color="auto"/>
        <w:bottom w:val="none" w:sz="0" w:space="0" w:color="auto"/>
        <w:right w:val="none" w:sz="0" w:space="0" w:color="auto"/>
      </w:divBdr>
    </w:div>
    <w:div w:id="2073038259">
      <w:bodyDiv w:val="1"/>
      <w:marLeft w:val="0"/>
      <w:marRight w:val="0"/>
      <w:marTop w:val="0"/>
      <w:marBottom w:val="0"/>
      <w:divBdr>
        <w:top w:val="none" w:sz="0" w:space="0" w:color="auto"/>
        <w:left w:val="none" w:sz="0" w:space="0" w:color="auto"/>
        <w:bottom w:val="none" w:sz="0" w:space="0" w:color="auto"/>
        <w:right w:val="none" w:sz="0" w:space="0" w:color="auto"/>
      </w:divBdr>
    </w:div>
    <w:div w:id="2074548107">
      <w:bodyDiv w:val="1"/>
      <w:marLeft w:val="0"/>
      <w:marRight w:val="0"/>
      <w:marTop w:val="0"/>
      <w:marBottom w:val="0"/>
      <w:divBdr>
        <w:top w:val="none" w:sz="0" w:space="0" w:color="auto"/>
        <w:left w:val="none" w:sz="0" w:space="0" w:color="auto"/>
        <w:bottom w:val="none" w:sz="0" w:space="0" w:color="auto"/>
        <w:right w:val="none" w:sz="0" w:space="0" w:color="auto"/>
      </w:divBdr>
    </w:div>
    <w:div w:id="2078628541">
      <w:bodyDiv w:val="1"/>
      <w:marLeft w:val="0"/>
      <w:marRight w:val="0"/>
      <w:marTop w:val="0"/>
      <w:marBottom w:val="0"/>
      <w:divBdr>
        <w:top w:val="none" w:sz="0" w:space="0" w:color="auto"/>
        <w:left w:val="none" w:sz="0" w:space="0" w:color="auto"/>
        <w:bottom w:val="none" w:sz="0" w:space="0" w:color="auto"/>
        <w:right w:val="none" w:sz="0" w:space="0" w:color="auto"/>
      </w:divBdr>
    </w:div>
    <w:div w:id="2079790203">
      <w:bodyDiv w:val="1"/>
      <w:marLeft w:val="0"/>
      <w:marRight w:val="0"/>
      <w:marTop w:val="0"/>
      <w:marBottom w:val="0"/>
      <w:divBdr>
        <w:top w:val="none" w:sz="0" w:space="0" w:color="auto"/>
        <w:left w:val="none" w:sz="0" w:space="0" w:color="auto"/>
        <w:bottom w:val="none" w:sz="0" w:space="0" w:color="auto"/>
        <w:right w:val="none" w:sz="0" w:space="0" w:color="auto"/>
      </w:divBdr>
    </w:div>
    <w:div w:id="2080008652">
      <w:bodyDiv w:val="1"/>
      <w:marLeft w:val="0"/>
      <w:marRight w:val="0"/>
      <w:marTop w:val="0"/>
      <w:marBottom w:val="0"/>
      <w:divBdr>
        <w:top w:val="none" w:sz="0" w:space="0" w:color="auto"/>
        <w:left w:val="none" w:sz="0" w:space="0" w:color="auto"/>
        <w:bottom w:val="none" w:sz="0" w:space="0" w:color="auto"/>
        <w:right w:val="none" w:sz="0" w:space="0" w:color="auto"/>
      </w:divBdr>
    </w:div>
    <w:div w:id="2086293541">
      <w:bodyDiv w:val="1"/>
      <w:marLeft w:val="0"/>
      <w:marRight w:val="0"/>
      <w:marTop w:val="0"/>
      <w:marBottom w:val="0"/>
      <w:divBdr>
        <w:top w:val="none" w:sz="0" w:space="0" w:color="auto"/>
        <w:left w:val="none" w:sz="0" w:space="0" w:color="auto"/>
        <w:bottom w:val="none" w:sz="0" w:space="0" w:color="auto"/>
        <w:right w:val="none" w:sz="0" w:space="0" w:color="auto"/>
      </w:divBdr>
    </w:div>
    <w:div w:id="2087260577">
      <w:bodyDiv w:val="1"/>
      <w:marLeft w:val="0"/>
      <w:marRight w:val="0"/>
      <w:marTop w:val="0"/>
      <w:marBottom w:val="0"/>
      <w:divBdr>
        <w:top w:val="none" w:sz="0" w:space="0" w:color="auto"/>
        <w:left w:val="none" w:sz="0" w:space="0" w:color="auto"/>
        <w:bottom w:val="none" w:sz="0" w:space="0" w:color="auto"/>
        <w:right w:val="none" w:sz="0" w:space="0" w:color="auto"/>
      </w:divBdr>
    </w:div>
    <w:div w:id="2089156828">
      <w:bodyDiv w:val="1"/>
      <w:marLeft w:val="0"/>
      <w:marRight w:val="0"/>
      <w:marTop w:val="0"/>
      <w:marBottom w:val="0"/>
      <w:divBdr>
        <w:top w:val="none" w:sz="0" w:space="0" w:color="auto"/>
        <w:left w:val="none" w:sz="0" w:space="0" w:color="auto"/>
        <w:bottom w:val="none" w:sz="0" w:space="0" w:color="auto"/>
        <w:right w:val="none" w:sz="0" w:space="0" w:color="auto"/>
      </w:divBdr>
    </w:div>
    <w:div w:id="2089383660">
      <w:bodyDiv w:val="1"/>
      <w:marLeft w:val="0"/>
      <w:marRight w:val="0"/>
      <w:marTop w:val="0"/>
      <w:marBottom w:val="0"/>
      <w:divBdr>
        <w:top w:val="none" w:sz="0" w:space="0" w:color="auto"/>
        <w:left w:val="none" w:sz="0" w:space="0" w:color="auto"/>
        <w:bottom w:val="none" w:sz="0" w:space="0" w:color="auto"/>
        <w:right w:val="none" w:sz="0" w:space="0" w:color="auto"/>
      </w:divBdr>
    </w:div>
    <w:div w:id="2091345604">
      <w:bodyDiv w:val="1"/>
      <w:marLeft w:val="0"/>
      <w:marRight w:val="0"/>
      <w:marTop w:val="0"/>
      <w:marBottom w:val="0"/>
      <w:divBdr>
        <w:top w:val="none" w:sz="0" w:space="0" w:color="auto"/>
        <w:left w:val="none" w:sz="0" w:space="0" w:color="auto"/>
        <w:bottom w:val="none" w:sz="0" w:space="0" w:color="auto"/>
        <w:right w:val="none" w:sz="0" w:space="0" w:color="auto"/>
      </w:divBdr>
    </w:div>
    <w:div w:id="2091654828">
      <w:bodyDiv w:val="1"/>
      <w:marLeft w:val="0"/>
      <w:marRight w:val="0"/>
      <w:marTop w:val="0"/>
      <w:marBottom w:val="0"/>
      <w:divBdr>
        <w:top w:val="none" w:sz="0" w:space="0" w:color="auto"/>
        <w:left w:val="none" w:sz="0" w:space="0" w:color="auto"/>
        <w:bottom w:val="none" w:sz="0" w:space="0" w:color="auto"/>
        <w:right w:val="none" w:sz="0" w:space="0" w:color="auto"/>
      </w:divBdr>
    </w:div>
    <w:div w:id="2096196110">
      <w:bodyDiv w:val="1"/>
      <w:marLeft w:val="0"/>
      <w:marRight w:val="0"/>
      <w:marTop w:val="0"/>
      <w:marBottom w:val="0"/>
      <w:divBdr>
        <w:top w:val="none" w:sz="0" w:space="0" w:color="auto"/>
        <w:left w:val="none" w:sz="0" w:space="0" w:color="auto"/>
        <w:bottom w:val="none" w:sz="0" w:space="0" w:color="auto"/>
        <w:right w:val="none" w:sz="0" w:space="0" w:color="auto"/>
      </w:divBdr>
    </w:div>
    <w:div w:id="2097750429">
      <w:bodyDiv w:val="1"/>
      <w:marLeft w:val="0"/>
      <w:marRight w:val="0"/>
      <w:marTop w:val="0"/>
      <w:marBottom w:val="0"/>
      <w:divBdr>
        <w:top w:val="none" w:sz="0" w:space="0" w:color="auto"/>
        <w:left w:val="none" w:sz="0" w:space="0" w:color="auto"/>
        <w:bottom w:val="none" w:sz="0" w:space="0" w:color="auto"/>
        <w:right w:val="none" w:sz="0" w:space="0" w:color="auto"/>
      </w:divBdr>
    </w:div>
    <w:div w:id="2099791173">
      <w:bodyDiv w:val="1"/>
      <w:marLeft w:val="0"/>
      <w:marRight w:val="0"/>
      <w:marTop w:val="0"/>
      <w:marBottom w:val="0"/>
      <w:divBdr>
        <w:top w:val="none" w:sz="0" w:space="0" w:color="auto"/>
        <w:left w:val="none" w:sz="0" w:space="0" w:color="auto"/>
        <w:bottom w:val="none" w:sz="0" w:space="0" w:color="auto"/>
        <w:right w:val="none" w:sz="0" w:space="0" w:color="auto"/>
      </w:divBdr>
    </w:div>
    <w:div w:id="2101826739">
      <w:bodyDiv w:val="1"/>
      <w:marLeft w:val="0"/>
      <w:marRight w:val="0"/>
      <w:marTop w:val="0"/>
      <w:marBottom w:val="0"/>
      <w:divBdr>
        <w:top w:val="none" w:sz="0" w:space="0" w:color="auto"/>
        <w:left w:val="none" w:sz="0" w:space="0" w:color="auto"/>
        <w:bottom w:val="none" w:sz="0" w:space="0" w:color="auto"/>
        <w:right w:val="none" w:sz="0" w:space="0" w:color="auto"/>
      </w:divBdr>
    </w:div>
    <w:div w:id="2105757934">
      <w:bodyDiv w:val="1"/>
      <w:marLeft w:val="0"/>
      <w:marRight w:val="0"/>
      <w:marTop w:val="0"/>
      <w:marBottom w:val="0"/>
      <w:divBdr>
        <w:top w:val="none" w:sz="0" w:space="0" w:color="auto"/>
        <w:left w:val="none" w:sz="0" w:space="0" w:color="auto"/>
        <w:bottom w:val="none" w:sz="0" w:space="0" w:color="auto"/>
        <w:right w:val="none" w:sz="0" w:space="0" w:color="auto"/>
      </w:divBdr>
    </w:div>
    <w:div w:id="2107192116">
      <w:bodyDiv w:val="1"/>
      <w:marLeft w:val="0"/>
      <w:marRight w:val="0"/>
      <w:marTop w:val="0"/>
      <w:marBottom w:val="0"/>
      <w:divBdr>
        <w:top w:val="none" w:sz="0" w:space="0" w:color="auto"/>
        <w:left w:val="none" w:sz="0" w:space="0" w:color="auto"/>
        <w:bottom w:val="none" w:sz="0" w:space="0" w:color="auto"/>
        <w:right w:val="none" w:sz="0" w:space="0" w:color="auto"/>
      </w:divBdr>
    </w:div>
    <w:div w:id="2107342434">
      <w:bodyDiv w:val="1"/>
      <w:marLeft w:val="0"/>
      <w:marRight w:val="0"/>
      <w:marTop w:val="0"/>
      <w:marBottom w:val="0"/>
      <w:divBdr>
        <w:top w:val="none" w:sz="0" w:space="0" w:color="auto"/>
        <w:left w:val="none" w:sz="0" w:space="0" w:color="auto"/>
        <w:bottom w:val="none" w:sz="0" w:space="0" w:color="auto"/>
        <w:right w:val="none" w:sz="0" w:space="0" w:color="auto"/>
      </w:divBdr>
    </w:div>
    <w:div w:id="2108770630">
      <w:bodyDiv w:val="1"/>
      <w:marLeft w:val="0"/>
      <w:marRight w:val="0"/>
      <w:marTop w:val="0"/>
      <w:marBottom w:val="0"/>
      <w:divBdr>
        <w:top w:val="none" w:sz="0" w:space="0" w:color="auto"/>
        <w:left w:val="none" w:sz="0" w:space="0" w:color="auto"/>
        <w:bottom w:val="none" w:sz="0" w:space="0" w:color="auto"/>
        <w:right w:val="none" w:sz="0" w:space="0" w:color="auto"/>
      </w:divBdr>
    </w:div>
    <w:div w:id="2109425630">
      <w:bodyDiv w:val="1"/>
      <w:marLeft w:val="0"/>
      <w:marRight w:val="0"/>
      <w:marTop w:val="0"/>
      <w:marBottom w:val="0"/>
      <w:divBdr>
        <w:top w:val="none" w:sz="0" w:space="0" w:color="auto"/>
        <w:left w:val="none" w:sz="0" w:space="0" w:color="auto"/>
        <w:bottom w:val="none" w:sz="0" w:space="0" w:color="auto"/>
        <w:right w:val="none" w:sz="0" w:space="0" w:color="auto"/>
      </w:divBdr>
    </w:div>
    <w:div w:id="2111660798">
      <w:bodyDiv w:val="1"/>
      <w:marLeft w:val="0"/>
      <w:marRight w:val="0"/>
      <w:marTop w:val="0"/>
      <w:marBottom w:val="0"/>
      <w:divBdr>
        <w:top w:val="none" w:sz="0" w:space="0" w:color="auto"/>
        <w:left w:val="none" w:sz="0" w:space="0" w:color="auto"/>
        <w:bottom w:val="none" w:sz="0" w:space="0" w:color="auto"/>
        <w:right w:val="none" w:sz="0" w:space="0" w:color="auto"/>
      </w:divBdr>
    </w:div>
    <w:div w:id="2117014015">
      <w:bodyDiv w:val="1"/>
      <w:marLeft w:val="0"/>
      <w:marRight w:val="0"/>
      <w:marTop w:val="0"/>
      <w:marBottom w:val="0"/>
      <w:divBdr>
        <w:top w:val="none" w:sz="0" w:space="0" w:color="auto"/>
        <w:left w:val="none" w:sz="0" w:space="0" w:color="auto"/>
        <w:bottom w:val="none" w:sz="0" w:space="0" w:color="auto"/>
        <w:right w:val="none" w:sz="0" w:space="0" w:color="auto"/>
      </w:divBdr>
    </w:div>
    <w:div w:id="2124957400">
      <w:bodyDiv w:val="1"/>
      <w:marLeft w:val="0"/>
      <w:marRight w:val="0"/>
      <w:marTop w:val="0"/>
      <w:marBottom w:val="0"/>
      <w:divBdr>
        <w:top w:val="none" w:sz="0" w:space="0" w:color="auto"/>
        <w:left w:val="none" w:sz="0" w:space="0" w:color="auto"/>
        <w:bottom w:val="none" w:sz="0" w:space="0" w:color="auto"/>
        <w:right w:val="none" w:sz="0" w:space="0" w:color="auto"/>
      </w:divBdr>
    </w:div>
    <w:div w:id="2125267179">
      <w:bodyDiv w:val="1"/>
      <w:marLeft w:val="0"/>
      <w:marRight w:val="0"/>
      <w:marTop w:val="0"/>
      <w:marBottom w:val="0"/>
      <w:divBdr>
        <w:top w:val="none" w:sz="0" w:space="0" w:color="auto"/>
        <w:left w:val="none" w:sz="0" w:space="0" w:color="auto"/>
        <w:bottom w:val="none" w:sz="0" w:space="0" w:color="auto"/>
        <w:right w:val="none" w:sz="0" w:space="0" w:color="auto"/>
      </w:divBdr>
    </w:div>
    <w:div w:id="2125925354">
      <w:bodyDiv w:val="1"/>
      <w:marLeft w:val="0"/>
      <w:marRight w:val="0"/>
      <w:marTop w:val="0"/>
      <w:marBottom w:val="0"/>
      <w:divBdr>
        <w:top w:val="none" w:sz="0" w:space="0" w:color="auto"/>
        <w:left w:val="none" w:sz="0" w:space="0" w:color="auto"/>
        <w:bottom w:val="none" w:sz="0" w:space="0" w:color="auto"/>
        <w:right w:val="none" w:sz="0" w:space="0" w:color="auto"/>
      </w:divBdr>
    </w:div>
    <w:div w:id="2130510900">
      <w:bodyDiv w:val="1"/>
      <w:marLeft w:val="0"/>
      <w:marRight w:val="0"/>
      <w:marTop w:val="0"/>
      <w:marBottom w:val="0"/>
      <w:divBdr>
        <w:top w:val="none" w:sz="0" w:space="0" w:color="auto"/>
        <w:left w:val="none" w:sz="0" w:space="0" w:color="auto"/>
        <w:bottom w:val="none" w:sz="0" w:space="0" w:color="auto"/>
        <w:right w:val="none" w:sz="0" w:space="0" w:color="auto"/>
      </w:divBdr>
    </w:div>
    <w:div w:id="2133016858">
      <w:bodyDiv w:val="1"/>
      <w:marLeft w:val="0"/>
      <w:marRight w:val="0"/>
      <w:marTop w:val="0"/>
      <w:marBottom w:val="0"/>
      <w:divBdr>
        <w:top w:val="none" w:sz="0" w:space="0" w:color="auto"/>
        <w:left w:val="none" w:sz="0" w:space="0" w:color="auto"/>
        <w:bottom w:val="none" w:sz="0" w:space="0" w:color="auto"/>
        <w:right w:val="none" w:sz="0" w:space="0" w:color="auto"/>
      </w:divBdr>
    </w:div>
    <w:div w:id="2139643501">
      <w:bodyDiv w:val="1"/>
      <w:marLeft w:val="0"/>
      <w:marRight w:val="0"/>
      <w:marTop w:val="0"/>
      <w:marBottom w:val="0"/>
      <w:divBdr>
        <w:top w:val="none" w:sz="0" w:space="0" w:color="auto"/>
        <w:left w:val="none" w:sz="0" w:space="0" w:color="auto"/>
        <w:bottom w:val="none" w:sz="0" w:space="0" w:color="auto"/>
        <w:right w:val="none" w:sz="0" w:space="0" w:color="auto"/>
      </w:divBdr>
    </w:div>
    <w:div w:id="2142920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ec.gov/files/rules/sro/cboebzx/2025/34-103165.pdf" TargetMode="External"/><Relationship Id="rId18" Type="http://schemas.openxmlformats.org/officeDocument/2006/relationships/hyperlink" Target="https://www.govinfo.gov/content/pkg/COMPS-1885/pdf/COMPS-1885.pdf" TargetMode="External"/><Relationship Id="rId26" Type="http://schemas.openxmlformats.org/officeDocument/2006/relationships/hyperlink" Target="https://www.sec.gov/newsroom/speeches-statements/statement-stablecoins-040425" TargetMode="External"/><Relationship Id="rId39" Type="http://schemas.openxmlformats.org/officeDocument/2006/relationships/hyperlink" Target="https://www.sec.gov/newsroom/speeches-statements/crenshaw-statement-protocol-staking-052925" TargetMode="External"/><Relationship Id="rId21" Type="http://schemas.openxmlformats.org/officeDocument/2006/relationships/hyperlink" Target="https://www.sec.gov/newsroom/press-releases/2025-81-natalia-diez-riggin-named-senior-advisor-director-legislative-intergovernmental-affairs" TargetMode="External"/><Relationship Id="rId34" Type="http://schemas.openxmlformats.org/officeDocument/2006/relationships/hyperlink" Target="https://www.sec.gov/newsroom/speeches-statements/statement-certain-protocol-staking-activities-052925" TargetMode="External"/><Relationship Id="rId42" Type="http://schemas.openxmlformats.org/officeDocument/2006/relationships/hyperlink" Target="https://www.law.cornell.edu/cfr/text/17/240.19b-4" TargetMode="External"/><Relationship Id="rId47" Type="http://schemas.openxmlformats.org/officeDocument/2006/relationships/hyperlink" Target="https://asic.gov.au/about-asic/news-centre/find-a-media-release/2025-releases/25-087mr-asic-sues-blockchain-global-former-director-for-multiple-directors-duties-breaches/" TargetMode="External"/><Relationship Id="rId50" Type="http://schemas.openxmlformats.org/officeDocument/2006/relationships/hyperlink" Target="https://asic.gov.au/about-asic/news-centre/find-a-media-release/2024-releases/24-030mr-asic-secures-interim-travel-restraint-orders-against-former-blockchain-global-director/" TargetMode="External"/><Relationship Id="rId55" Type="http://schemas.openxmlformats.org/officeDocument/2006/relationships/hyperlink" Target="mailto:unsubscribe@charltonslaw.com?subject=unsubscribe%20-Hong%20Kong%20Law-" TargetMode="Externa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govinfo.gov/content/pkg/COMPS-1885/pdf/COMPS-1885.pdf" TargetMode="External"/><Relationship Id="rId29" Type="http://schemas.openxmlformats.org/officeDocument/2006/relationships/hyperlink" Target="https://charltonsquantum.com/us-sec-division-of-corporation-finance-clarifies-regulatory-status-of-crypto-protocol-staking-under-us-federal-securities-laws/" TargetMode="External"/><Relationship Id="rId11" Type="http://schemas.openxmlformats.org/officeDocument/2006/relationships/hyperlink" Target="https://www.govinfo.gov/content/pkg/COMPS-1885/pdf/COMPS-1885.pdf" TargetMode="External"/><Relationship Id="rId24" Type="http://schemas.openxmlformats.org/officeDocument/2006/relationships/hyperlink" Target="https://www.sec.gov/newsroom/speeches-statements/staff-statement-meme-coins" TargetMode="External"/><Relationship Id="rId32" Type="http://schemas.openxmlformats.org/officeDocument/2006/relationships/hyperlink" Target="https://www.cftc.gov/PressRoom/Events/opaeventjohnson052925" TargetMode="External"/><Relationship Id="rId37" Type="http://schemas.openxmlformats.org/officeDocument/2006/relationships/hyperlink" Target="https://www.sec.gov/newsroom/speeches-statements/crenshaw-statement-protocol-staking-052925" TargetMode="External"/><Relationship Id="rId40" Type="http://schemas.openxmlformats.org/officeDocument/2006/relationships/hyperlink" Target="https://www.sec.gov/files/rules/sro/nasdaq/2025/34-103141.pdf" TargetMode="External"/><Relationship Id="rId45" Type="http://schemas.openxmlformats.org/officeDocument/2006/relationships/hyperlink" Target="https://www.law.cornell.edu/cfr/text/17/240.19b-4" TargetMode="External"/><Relationship Id="rId53" Type="http://schemas.openxmlformats.org/officeDocument/2006/relationships/hyperlink" Target="https://www.legislation.gov.au/C2004A00818/latest/text" TargetMode="External"/><Relationship Id="rId58" Type="http://schemas.openxmlformats.org/officeDocument/2006/relationships/footer" Target="footer1.xml"/><Relationship Id="rId5" Type="http://schemas.openxmlformats.org/officeDocument/2006/relationships/webSettings" Target="webSettings.xml"/><Relationship Id="rId61" Type="http://schemas.openxmlformats.org/officeDocument/2006/relationships/footer" Target="footer3.xml"/><Relationship Id="rId19" Type="http://schemas.openxmlformats.org/officeDocument/2006/relationships/hyperlink" Target="https://www.law.cornell.edu/cfr/text/17/240.19b-4" TargetMode="External"/><Relationship Id="rId14" Type="http://schemas.openxmlformats.org/officeDocument/2006/relationships/hyperlink" Target="https://www.govinfo.gov/content/pkg/COMPS-1885/pdf/COMPS-1885.pdf" TargetMode="External"/><Relationship Id="rId22" Type="http://schemas.openxmlformats.org/officeDocument/2006/relationships/hyperlink" Target="https://www.sec.gov/newsroom/speeches-statements/crenshaw-statement-crypto-asset-security-status-053125" TargetMode="External"/><Relationship Id="rId27" Type="http://schemas.openxmlformats.org/officeDocument/2006/relationships/hyperlink" Target="https://www.sec.gov/newsroom/speeches-statements/crenshaw-statement-crypto-asset-security-status-053125" TargetMode="External"/><Relationship Id="rId30" Type="http://schemas.openxmlformats.org/officeDocument/2006/relationships/hyperlink" Target="https://www.sec.gov/newsroom/speeches-statements/statement-certain-proof-work-mining-activities-032025" TargetMode="External"/><Relationship Id="rId35" Type="http://schemas.openxmlformats.org/officeDocument/2006/relationships/hyperlink" Target="https://www.govinfo.gov/content/pkg/COMPS-1885/pdf/COMPS-1885.pdf" TargetMode="External"/><Relationship Id="rId43" Type="http://schemas.openxmlformats.org/officeDocument/2006/relationships/hyperlink" Target="https://www.sec.gov/files/rules/sro/nasdaq/2025/34-103141.pdf" TargetMode="External"/><Relationship Id="rId48" Type="http://schemas.openxmlformats.org/officeDocument/2006/relationships/hyperlink" Target="https://www.legislation.gov.au/C2004A00818/latest/text" TargetMode="External"/><Relationship Id="rId56" Type="http://schemas.openxmlformats.org/officeDocument/2006/relationships/header" Target="header1.xml"/><Relationship Id="rId8" Type="http://schemas.openxmlformats.org/officeDocument/2006/relationships/hyperlink" Target="https://www.sec.gov/files/rules/sro/cboebzx/2025/34-103164.pdf" TargetMode="External"/><Relationship Id="rId51" Type="http://schemas.openxmlformats.org/officeDocument/2006/relationships/hyperlink" Target="https://asic.gov.au/about-asic/news-centre/find-a-media-release/2025-releases/25-087mr-asic-sues-blockchain-global-former-director-for-multiple-directors-duties-breaches/" TargetMode="External"/><Relationship Id="rId3" Type="http://schemas.openxmlformats.org/officeDocument/2006/relationships/styles" Target="styles.xml"/><Relationship Id="rId12" Type="http://schemas.openxmlformats.org/officeDocument/2006/relationships/hyperlink" Target="https://www.sec.gov/files/rules/sro/cboebzx/2025/34-103164.pdf" TargetMode="External"/><Relationship Id="rId17" Type="http://schemas.openxmlformats.org/officeDocument/2006/relationships/hyperlink" Target="https://www.govinfo.gov/content/pkg/COMPS-1885/pdf/COMPS-1885.pdf" TargetMode="External"/><Relationship Id="rId25" Type="http://schemas.openxmlformats.org/officeDocument/2006/relationships/hyperlink" Target="https://www.sec.gov/newsroom/speeches-statements/statement-certain-proof-work-mining-activities-032025" TargetMode="External"/><Relationship Id="rId33" Type="http://schemas.openxmlformats.org/officeDocument/2006/relationships/hyperlink" Target="https://www.cftc.gov/PressRoom/SpeechesTestimony/opajohnson19" TargetMode="External"/><Relationship Id="rId38" Type="http://schemas.openxmlformats.org/officeDocument/2006/relationships/hyperlink" Target="https://charltonsquantum.com/us-sec-division-of-corporation-finance-clarifies-regulatory-status-of-crypto-protocol-staking-under-us-federal-securities-laws/" TargetMode="External"/><Relationship Id="rId46" Type="http://schemas.openxmlformats.org/officeDocument/2006/relationships/hyperlink" Target="https://www.sec.gov/files/rules/sro/nasdaq/2025/34-103141.pdf" TargetMode="External"/><Relationship Id="rId59" Type="http://schemas.openxmlformats.org/officeDocument/2006/relationships/footer" Target="footer2.xml"/><Relationship Id="rId20" Type="http://schemas.openxmlformats.org/officeDocument/2006/relationships/hyperlink" Target="https://www.sec.gov/files/rules/sro/cboebzx/2025/34-103165.pdf" TargetMode="External"/><Relationship Id="rId41" Type="http://schemas.openxmlformats.org/officeDocument/2006/relationships/hyperlink" Target="https://www.govinfo.gov/content/pkg/COMPS-1885/pdf/COMPS-1885.pdf" TargetMode="External"/><Relationship Id="rId54" Type="http://schemas.openxmlformats.org/officeDocument/2006/relationships/hyperlink" Target="https://asic.gov.au/about-asic/news-centre/find-a-media-release/2025-releases/25-082mr-asic-seeks-leave-from-high-court-to-appeal-block-earner-decision/"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law.cornell.edu/cfr/text/17/240.19b-4" TargetMode="External"/><Relationship Id="rId23" Type="http://schemas.openxmlformats.org/officeDocument/2006/relationships/hyperlink" Target="https://www.sec.gov/files/form-n-1a.pdf" TargetMode="External"/><Relationship Id="rId28" Type="http://schemas.openxmlformats.org/officeDocument/2006/relationships/hyperlink" Target="https://www.sec.gov/newsroom/speeches-statements/peirce-statement-protocol-staking-052925" TargetMode="External"/><Relationship Id="rId36" Type="http://schemas.openxmlformats.org/officeDocument/2006/relationships/hyperlink" Target="https://www.sec.gov/newsroom/speeches-statements/statement-certain-protocol-staking-activities-052925" TargetMode="External"/><Relationship Id="rId49" Type="http://schemas.openxmlformats.org/officeDocument/2006/relationships/hyperlink" Target="https://asic.gov.au/about-asic/news-centre/find-a-media-release/2024-releases/24-030mr-asic-secures-interim-travel-restraint-orders-against-former-blockchain-global-director/" TargetMode="External"/><Relationship Id="rId57" Type="http://schemas.openxmlformats.org/officeDocument/2006/relationships/header" Target="header2.xml"/><Relationship Id="rId10" Type="http://schemas.openxmlformats.org/officeDocument/2006/relationships/hyperlink" Target="https://www.law.cornell.edu/cfr/text/17/240.19b-4" TargetMode="External"/><Relationship Id="rId31" Type="http://schemas.openxmlformats.org/officeDocument/2006/relationships/hyperlink" Target="https://www.sec.gov/newsroom/speeches-statements/peirce-statement-protocol-staking-052925" TargetMode="External"/><Relationship Id="rId44" Type="http://schemas.openxmlformats.org/officeDocument/2006/relationships/hyperlink" Target="https://www.govinfo.gov/content/pkg/COMPS-1885/pdf/COMPS-1885.pdf" TargetMode="External"/><Relationship Id="rId52" Type="http://schemas.openxmlformats.org/officeDocument/2006/relationships/hyperlink" Target="https://asic.gov.au/about-asic/news-centre/find-a-media-release/2025-releases/25-082mr-asic-seeks-leave-from-high-court-to-appeal-block-earner-decision/" TargetMode="External"/><Relationship Id="rId6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govinfo.gov/content/pkg/COMPS-1885/pdf/COMPS-188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B72426-75CA-4075-A276-2DEDF58FE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10349</TotalTime>
  <Pages>15</Pages>
  <Words>8051</Words>
  <Characters>45892</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
    </vt:vector>
  </TitlesOfParts>
  <Company>Charltons</Company>
  <LinksUpToDate>false</LinksUpToDate>
  <CharactersWithSpaces>53836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Charlton</dc:creator>
  <cp:lastModifiedBy>Theresa Joy Lacatan</cp:lastModifiedBy>
  <cp:revision>639</cp:revision>
  <dcterms:created xsi:type="dcterms:W3CDTF">2024-12-09T10:39:00Z</dcterms:created>
  <dcterms:modified xsi:type="dcterms:W3CDTF">2025-06-10T09:07:00Z</dcterms:modified>
</cp:coreProperties>
</file>