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9BA78A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CB77CC">
        <w:rPr>
          <w:rFonts w:ascii="Arial" w:eastAsia="Cambria" w:hAnsi="Arial" w:cs="Arial"/>
          <w:color w:val="FFFFFF"/>
          <w:lang w:val="en-GB"/>
        </w:rPr>
        <w:t>3</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w:t>
      </w:r>
      <w:r w:rsidR="006F6A24">
        <w:rPr>
          <w:rFonts w:ascii="Arial" w:eastAsia="Cambria" w:hAnsi="Arial" w:cs="Arial"/>
          <w:color w:val="FFFFFF"/>
          <w:lang w:val="en-GB"/>
        </w:rPr>
        <w:t>ly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5665422F"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A974B6">
        <w:rPr>
          <w:rFonts w:ascii="Arial" w:eastAsia="Cambria" w:hAnsi="Arial" w:cs="Arial"/>
          <w:sz w:val="28"/>
          <w:szCs w:val="24"/>
          <w:lang w:val="en-GB"/>
        </w:rPr>
        <w:instrText>HYPERLINK "https://charltonsquantum.com/quantum-updates-53-hk-fstb-sfc-joint-consultation-on-legislative-proposals/"</w:instrText>
      </w:r>
      <w:r w:rsidR="00A974B6">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4F9085F2" w14:textId="77777777" w:rsidR="00781686" w:rsidRPr="00781686" w:rsidRDefault="00781686" w:rsidP="00781686">
      <w:pPr>
        <w:jc w:val="both"/>
        <w:rPr>
          <w:b/>
          <w:bCs/>
          <w:color w:val="FF6E00"/>
          <w:lang w:val="en-PH"/>
        </w:rPr>
      </w:pPr>
      <w:r w:rsidRPr="00781686">
        <w:rPr>
          <w:b/>
          <w:bCs/>
          <w:color w:val="FF6E00"/>
          <w:lang w:val="en-PH"/>
        </w:rPr>
        <w:t>Hong Kong FSTB and SFC Launch Joint Consultation on Legislative Proposals to Regulate Virtual Asset Dealers and Custodians</w:t>
      </w:r>
    </w:p>
    <w:p w14:paraId="103A0E16" w14:textId="77777777" w:rsidR="00021BD3" w:rsidRPr="00021BD3" w:rsidRDefault="00021BD3" w:rsidP="00021BD3">
      <w:pPr>
        <w:jc w:val="both"/>
        <w:rPr>
          <w:rFonts w:eastAsia="Times New Roman"/>
          <w:bCs/>
          <w:lang w:val="en-IN"/>
        </w:rPr>
      </w:pPr>
      <w:r w:rsidRPr="00021BD3">
        <w:rPr>
          <w:rFonts w:eastAsia="Times New Roman"/>
          <w:bCs/>
          <w:lang w:val="en-IN"/>
        </w:rPr>
        <w:t>On 27 June 2025, the Hong Kong Financial Services and the Treasury Bureau (</w:t>
      </w:r>
      <w:r w:rsidRPr="00021BD3">
        <w:rPr>
          <w:rFonts w:eastAsia="Times New Roman"/>
          <w:b/>
          <w:lang w:val="en-IN"/>
        </w:rPr>
        <w:t>FSTB</w:t>
      </w:r>
      <w:r w:rsidRPr="00021BD3">
        <w:rPr>
          <w:rFonts w:eastAsia="Times New Roman"/>
          <w:bCs/>
          <w:lang w:val="en-IN"/>
        </w:rPr>
        <w:t>) and the Hong Kong Securities and Futures Commission (</w:t>
      </w:r>
      <w:r w:rsidRPr="00021BD3">
        <w:rPr>
          <w:rFonts w:eastAsia="Times New Roman"/>
          <w:b/>
          <w:lang w:val="en-IN"/>
        </w:rPr>
        <w:t>HK SFC</w:t>
      </w:r>
      <w:r w:rsidRPr="00021BD3">
        <w:rPr>
          <w:rFonts w:eastAsia="Times New Roman"/>
          <w:bCs/>
          <w:lang w:val="en-IN"/>
        </w:rPr>
        <w:t xml:space="preserve">) jointly released two consultation papers i.e. </w:t>
      </w:r>
      <w:hyperlink r:id="rId8" w:history="1">
        <w:r w:rsidRPr="00021BD3">
          <w:rPr>
            <w:rStyle w:val="Hyperlink"/>
            <w:rFonts w:eastAsia="Times New Roman"/>
            <w:bCs/>
            <w:i/>
            <w:iCs/>
            <w:color w:val="FF6E00"/>
            <w:u w:val="none"/>
            <w:lang w:val="en-IN"/>
          </w:rPr>
          <w:t>Public Consultation on Legislative Proposal to Regulate Dealing in Virtual Assets</w:t>
        </w:r>
      </w:hyperlink>
      <w:r w:rsidRPr="00021BD3">
        <w:rPr>
          <w:rFonts w:eastAsia="Times New Roman"/>
          <w:bCs/>
          <w:color w:val="FF6E00"/>
          <w:lang w:val="en-IN"/>
        </w:rPr>
        <w:t> and </w:t>
      </w:r>
      <w:hyperlink r:id="rId9" w:history="1">
        <w:r w:rsidRPr="00021BD3">
          <w:rPr>
            <w:rStyle w:val="Hyperlink"/>
            <w:rFonts w:eastAsia="Times New Roman"/>
            <w:bCs/>
            <w:i/>
            <w:iCs/>
            <w:color w:val="FF6E00"/>
            <w:u w:val="none"/>
            <w:lang w:val="en-IN"/>
          </w:rPr>
          <w:t>Public Consultation on Legislative Proposal to Regulate Virtual Asset Custodian Services</w:t>
        </w:r>
      </w:hyperlink>
      <w:r w:rsidRPr="00021BD3">
        <w:rPr>
          <w:rFonts w:eastAsia="Times New Roman"/>
          <w:bCs/>
          <w:lang w:val="en-IN"/>
        </w:rPr>
        <w:t xml:space="preserve"> which proposes statutory licensing regimes for virtual asset dealers and custodians. </w:t>
      </w:r>
    </w:p>
    <w:p w14:paraId="1E3B214F" w14:textId="77777777" w:rsidR="00021BD3" w:rsidRPr="00021BD3" w:rsidRDefault="00021BD3" w:rsidP="00021BD3">
      <w:pPr>
        <w:jc w:val="both"/>
        <w:rPr>
          <w:rFonts w:eastAsia="Times New Roman"/>
          <w:bCs/>
          <w:lang w:val="en-IN"/>
        </w:rPr>
      </w:pPr>
      <w:r w:rsidRPr="00021BD3">
        <w:rPr>
          <w:rFonts w:eastAsia="Times New Roman"/>
          <w:bCs/>
          <w:lang w:val="en-IN"/>
        </w:rPr>
        <w:t xml:space="preserve">These proposed legislative frameworks form a central pillar of the Hong Kong SAR Government’s digital asset development agenda, following the release of the Policy Statement 2.0 on the Development of Digital Assets in Hong Kong on 26 June 2025. They are also aligned with the “Access” pillar of the SFC’s </w:t>
      </w:r>
      <w:hyperlink r:id="rId10" w:history="1">
        <w:r w:rsidRPr="00021BD3">
          <w:rPr>
            <w:rStyle w:val="Hyperlink"/>
            <w:rFonts w:eastAsia="Times New Roman"/>
            <w:bCs/>
            <w:color w:val="FF6E00"/>
            <w:u w:val="none"/>
            <w:lang w:val="en-IN"/>
          </w:rPr>
          <w:t>ASPIRe roadmap</w:t>
        </w:r>
      </w:hyperlink>
      <w:r w:rsidRPr="00021BD3">
        <w:rPr>
          <w:rFonts w:eastAsia="Times New Roman"/>
          <w:bCs/>
          <w:lang w:val="en-IN"/>
        </w:rPr>
        <w:t>, issued on 19 February 2025, to ensure safe, responsible, and globally integrated virtual asset markets.</w:t>
      </w:r>
    </w:p>
    <w:p w14:paraId="5D7999D5" w14:textId="77777777" w:rsidR="00021BD3" w:rsidRPr="00021BD3" w:rsidRDefault="00021BD3" w:rsidP="00021BD3">
      <w:pPr>
        <w:jc w:val="both"/>
        <w:rPr>
          <w:rFonts w:eastAsia="Times New Roman"/>
          <w:bCs/>
          <w:lang w:val="en-IN"/>
        </w:rPr>
      </w:pPr>
      <w:r w:rsidRPr="00021BD3">
        <w:rPr>
          <w:rFonts w:eastAsia="Times New Roman"/>
          <w:bCs/>
          <w:lang w:val="en-IN"/>
        </w:rPr>
        <w:t>The proposed legislative regimes will mandate licensing, supervision, and compliance standards for entities engaging in dealing in virtual assets and those offering virtual asset custody services. The HK SFC will be the designated authority to license and regulate these service providers, ensuring that they operate under robust governance, AML/CFT controls, asset safeguarding protocols, and client protection obligations. The proposed frameworks adopt a “same business, same risks, same rules” principle to ensure regulatory consistency across comparable financial activities.</w:t>
      </w:r>
    </w:p>
    <w:p w14:paraId="1D0F5AD2" w14:textId="77777777" w:rsidR="00021BD3" w:rsidRPr="00021BD3" w:rsidRDefault="00021BD3" w:rsidP="00021BD3">
      <w:pPr>
        <w:jc w:val="both"/>
        <w:rPr>
          <w:rFonts w:eastAsia="Times New Roman"/>
          <w:bCs/>
          <w:lang w:val="en-IN"/>
        </w:rPr>
      </w:pPr>
      <w:r w:rsidRPr="00021BD3">
        <w:rPr>
          <w:rFonts w:eastAsia="Times New Roman"/>
          <w:bCs/>
          <w:lang w:val="en-IN"/>
        </w:rPr>
        <w:t xml:space="preserve">According to Ms Julia Leung, Chief Executive Officer of the HK SFC: </w:t>
      </w:r>
      <w:r w:rsidRPr="00021BD3">
        <w:rPr>
          <w:rFonts w:eastAsia="Times New Roman"/>
          <w:bCs/>
          <w:i/>
          <w:iCs/>
          <w:lang w:val="en-IN"/>
        </w:rPr>
        <w:t>“The proposed introduction of the regulatory regimes for dealers and custodians would complete a digital asset ecosystem that is both safe and vibrant for institutional and retail investors.”</w:t>
      </w:r>
    </w:p>
    <w:p w14:paraId="711BE6FA" w14:textId="77777777" w:rsidR="00021BD3" w:rsidRPr="00021BD3" w:rsidRDefault="00021BD3" w:rsidP="00021BD3">
      <w:pPr>
        <w:jc w:val="both"/>
        <w:rPr>
          <w:rFonts w:eastAsia="Times New Roman"/>
          <w:bCs/>
          <w:lang w:val="en-IN"/>
        </w:rPr>
      </w:pPr>
      <w:r w:rsidRPr="00021BD3">
        <w:rPr>
          <w:rFonts w:eastAsia="Times New Roman"/>
          <w:bCs/>
          <w:lang w:val="en-IN"/>
        </w:rPr>
        <w:t xml:space="preserve">The launch of the two consultation papers i.e. </w:t>
      </w:r>
      <w:r w:rsidRPr="00021BD3">
        <w:rPr>
          <w:rFonts w:eastAsia="Times New Roman"/>
          <w:bCs/>
          <w:i/>
          <w:iCs/>
          <w:lang w:val="en-IN"/>
        </w:rPr>
        <w:t>Public Consultation on Legislative Proposal to Regulate Dealing in Virtual Assets</w:t>
      </w:r>
      <w:r w:rsidRPr="00021BD3">
        <w:rPr>
          <w:rFonts w:eastAsia="Times New Roman"/>
          <w:bCs/>
          <w:lang w:val="en-IN"/>
        </w:rPr>
        <w:t> and </w:t>
      </w:r>
      <w:r w:rsidRPr="00021BD3">
        <w:rPr>
          <w:rFonts w:eastAsia="Times New Roman"/>
          <w:bCs/>
          <w:i/>
          <w:iCs/>
          <w:lang w:val="en-IN"/>
        </w:rPr>
        <w:t>Public Consultation on Legislative Proposal to Regulate Virtual Asset Custodian Services</w:t>
      </w:r>
      <w:r w:rsidRPr="00021BD3">
        <w:rPr>
          <w:rFonts w:eastAsia="Times New Roman"/>
          <w:bCs/>
          <w:lang w:val="en-IN"/>
        </w:rPr>
        <w:t xml:space="preserve"> follows the release of the Policy Statement 2.0, which outlined the Government’s updated vision for digital asset market development. These proposals are aimed at establishing a statutory foundation for overseeing key VA intermediaries and addressing identified regulatory gaps in asset custody and trading services.</w:t>
      </w:r>
    </w:p>
    <w:p w14:paraId="567909F8" w14:textId="77777777" w:rsidR="00021BD3" w:rsidRPr="00021BD3" w:rsidRDefault="00021BD3" w:rsidP="00021BD3">
      <w:pPr>
        <w:jc w:val="both"/>
        <w:rPr>
          <w:rFonts w:eastAsia="Times New Roman"/>
          <w:bCs/>
          <w:i/>
          <w:iCs/>
          <w:lang w:val="en-IN"/>
        </w:rPr>
      </w:pPr>
      <w:r w:rsidRPr="00021BD3">
        <w:rPr>
          <w:rFonts w:eastAsia="Times New Roman"/>
          <w:bCs/>
          <w:lang w:val="en-IN"/>
        </w:rPr>
        <w:t xml:space="preserve">Mr Christopher Hui, Secretary for Financial Services and the Treasury, affirmed this direction: </w:t>
      </w:r>
      <w:r w:rsidRPr="00021BD3">
        <w:rPr>
          <w:rFonts w:eastAsia="Times New Roman"/>
          <w:bCs/>
          <w:i/>
          <w:iCs/>
          <w:lang w:val="en-IN"/>
        </w:rPr>
        <w:t>“The proposed licensing regimes will lay a solid ground for us to establish a comprehensive regulatory framework for digital assets with investor and customer protection at its core foundation.”</w:t>
      </w:r>
    </w:p>
    <w:p w14:paraId="7C804063" w14:textId="77777777" w:rsidR="00021BD3" w:rsidRPr="00021BD3" w:rsidRDefault="00021BD3" w:rsidP="00021BD3">
      <w:pPr>
        <w:jc w:val="both"/>
        <w:rPr>
          <w:rFonts w:eastAsia="Times New Roman"/>
          <w:bCs/>
          <w:lang w:val="en-IN"/>
        </w:rPr>
      </w:pPr>
      <w:r w:rsidRPr="00021BD3">
        <w:rPr>
          <w:rFonts w:eastAsia="Times New Roman"/>
          <w:bCs/>
          <w:lang w:val="en-IN"/>
        </w:rPr>
        <w:t>The Public Consultation on Legislative Proposal to Regulate Dealing in Virtual Assets and the Public Consultation on Legislative Proposal to Regulate Virtual Asset Custodian Services invite comments from stakeholders, including licensed intermediaries, fintech firms, institutional investors, global exchanges, legal advisors, and the general public. Interested parties may submit their responses to the Hong Kong FSTB or HK SFC by 29 August 2025.</w:t>
      </w:r>
    </w:p>
    <w:p w14:paraId="5F33193D" w14:textId="77777777" w:rsidR="00021BD3" w:rsidRPr="00021BD3" w:rsidRDefault="00021BD3" w:rsidP="00021BD3">
      <w:pPr>
        <w:jc w:val="both"/>
        <w:rPr>
          <w:rFonts w:eastAsia="Times New Roman"/>
          <w:bCs/>
          <w:lang w:val="en-IN"/>
        </w:rPr>
      </w:pPr>
      <w:r w:rsidRPr="00021BD3">
        <w:rPr>
          <w:rFonts w:eastAsia="Times New Roman"/>
          <w:bCs/>
          <w:lang w:val="en-IN"/>
        </w:rPr>
        <w:lastRenderedPageBreak/>
        <w:t xml:space="preserve">After the conclusion of consultation period, the authorities are expected to initiate legislative drafting, likely through amendments to the Hong Kong </w:t>
      </w:r>
      <w:hyperlink r:id="rId11" w:history="1">
        <w:r w:rsidRPr="00021BD3">
          <w:rPr>
            <w:rStyle w:val="Hyperlink"/>
            <w:rFonts w:eastAsia="Times New Roman"/>
            <w:bCs/>
            <w:color w:val="FF6E00"/>
            <w:u w:val="none"/>
            <w:lang w:val="en-IN"/>
          </w:rPr>
          <w:t>Anti-Money Laundering and Counter-Terrorist Financing Ordinance</w:t>
        </w:r>
      </w:hyperlink>
      <w:r w:rsidRPr="00021BD3">
        <w:rPr>
          <w:rFonts w:eastAsia="Times New Roman"/>
          <w:bCs/>
          <w:lang w:val="en-IN"/>
        </w:rPr>
        <w:t xml:space="preserve"> (Cap. 615) and/or the Hong Kong </w:t>
      </w:r>
      <w:hyperlink r:id="rId12" w:history="1">
        <w:r w:rsidRPr="00021BD3">
          <w:rPr>
            <w:rStyle w:val="Hyperlink"/>
            <w:rFonts w:eastAsia="Times New Roman"/>
            <w:bCs/>
            <w:color w:val="FF6E00"/>
            <w:u w:val="none"/>
            <w:lang w:val="en-IN"/>
          </w:rPr>
          <w:t>Securities and Futures Ordinance</w:t>
        </w:r>
      </w:hyperlink>
      <w:r w:rsidRPr="00021BD3">
        <w:rPr>
          <w:rFonts w:eastAsia="Times New Roman"/>
          <w:bCs/>
          <w:lang w:val="en-IN"/>
        </w:rPr>
        <w:t xml:space="preserve"> (Cap. 571), to formally establish the licensing frameworks.</w:t>
      </w:r>
    </w:p>
    <w:p w14:paraId="465C1BFE" w14:textId="77777777" w:rsidR="00021BD3" w:rsidRPr="00021BD3" w:rsidRDefault="00021BD3" w:rsidP="00021BD3">
      <w:pPr>
        <w:rPr>
          <w:rFonts w:eastAsia="Times New Roman"/>
          <w:bCs/>
          <w:lang w:val="en-IN"/>
        </w:rPr>
      </w:pPr>
      <w:r w:rsidRPr="00021BD3">
        <w:rPr>
          <w:rFonts w:eastAsia="Times New Roman"/>
          <w:bCs/>
          <w:lang w:val="en-IN"/>
        </w:rPr>
        <w:t xml:space="preserve">(Source: </w:t>
      </w:r>
      <w:hyperlink r:id="rId13" w:history="1">
        <w:r w:rsidRPr="00021BD3">
          <w:rPr>
            <w:rStyle w:val="Hyperlink"/>
            <w:rFonts w:eastAsia="Times New Roman"/>
            <w:bCs/>
            <w:color w:val="FF6E00"/>
            <w:lang w:val="en-IN"/>
          </w:rPr>
          <w:t>https://apps.sfc.hk/edistributionWeb/gateway/EN/news-and-announcements/news/doc?refNo=25PR99</w:t>
        </w:r>
      </w:hyperlink>
      <w:r w:rsidRPr="00021BD3">
        <w:rPr>
          <w:rFonts w:eastAsia="Times New Roman"/>
          <w:bCs/>
          <w:lang w:val="en-IN"/>
        </w:rPr>
        <w:t xml:space="preserve">) </w:t>
      </w:r>
    </w:p>
    <w:p w14:paraId="02FE711C" w14:textId="77777777" w:rsidR="0030374A" w:rsidRDefault="0030374A" w:rsidP="006B4E27">
      <w:pPr>
        <w:jc w:val="both"/>
        <w:rPr>
          <w:rFonts w:eastAsia="Times New Roman"/>
          <w:bCs/>
          <w:lang w:val="en-PH"/>
        </w:rPr>
      </w:pPr>
    </w:p>
    <w:p w14:paraId="67B1D1AE" w14:textId="77777777" w:rsidR="00781686" w:rsidRPr="00781686" w:rsidRDefault="00781686" w:rsidP="00781686">
      <w:pPr>
        <w:jc w:val="both"/>
        <w:rPr>
          <w:b/>
          <w:bCs/>
          <w:color w:val="FF6E00"/>
          <w:lang w:val="en-PH"/>
        </w:rPr>
      </w:pPr>
      <w:r w:rsidRPr="00781686">
        <w:rPr>
          <w:b/>
          <w:bCs/>
          <w:color w:val="FF6E00"/>
          <w:lang w:val="en-PH"/>
        </w:rPr>
        <w:t>Crypto Asset Exchange-Traded Products – Division of Corporation Finance, July 1, 2025: US SEC Staff Clarifies Disclosure Expectations for Crypto ETP Issuers</w:t>
      </w:r>
    </w:p>
    <w:p w14:paraId="54055579" w14:textId="77777777" w:rsidR="00781686" w:rsidRPr="00781686" w:rsidRDefault="00781686" w:rsidP="00781686">
      <w:pPr>
        <w:jc w:val="both"/>
        <w:rPr>
          <w:rFonts w:eastAsia="Times New Roman"/>
          <w:bCs/>
          <w:lang w:val="en-PH"/>
        </w:rPr>
      </w:pPr>
      <w:r w:rsidRPr="00781686">
        <w:rPr>
          <w:rFonts w:eastAsia="Times New Roman"/>
          <w:bCs/>
          <w:lang w:val="en-PH"/>
        </w:rPr>
        <w:t>On 1 July 2025, the U.S. Securities and Exchange Commission’s Division of Corporation Finance released a staff statement titled </w:t>
      </w:r>
      <w:hyperlink r:id="rId14" w:tgtFrame="_blank" w:history="1">
        <w:r w:rsidRPr="00781686">
          <w:rPr>
            <w:rStyle w:val="Hyperlink"/>
            <w:rFonts w:eastAsia="Times New Roman"/>
            <w:bCs/>
            <w:color w:val="FF6E00"/>
            <w:u w:val="none"/>
            <w:lang w:val="en-PH"/>
          </w:rPr>
          <w:t>Crypto Asset Exchange-Traded Products – Division of Corporation Finance</w:t>
        </w:r>
      </w:hyperlink>
      <w:r w:rsidRPr="00781686">
        <w:rPr>
          <w:rFonts w:eastAsia="Times New Roman"/>
          <w:bCs/>
          <w:lang w:val="en-PH"/>
        </w:rPr>
        <w:t>. The statement aims to provide clarity and guidance on the application of U.S. federal securities laws to disclosures made by issuers of crypto asset exchange-traded products (</w:t>
      </w:r>
      <w:r w:rsidRPr="00781686">
        <w:rPr>
          <w:rFonts w:eastAsia="Times New Roman"/>
          <w:b/>
          <w:bCs/>
          <w:lang w:val="en-PH"/>
        </w:rPr>
        <w:t>ETPs</w:t>
      </w:r>
      <w:r w:rsidRPr="00781686">
        <w:rPr>
          <w:rFonts w:eastAsia="Times New Roman"/>
          <w:bCs/>
          <w:lang w:val="en-PH"/>
        </w:rPr>
        <w:t>). It outlines key disclosure practices under the </w:t>
      </w:r>
      <w:hyperlink r:id="rId15" w:tgtFrame="_blank" w:history="1">
        <w:r w:rsidRPr="00781686">
          <w:rPr>
            <w:rStyle w:val="Hyperlink"/>
            <w:rFonts w:eastAsia="Times New Roman"/>
            <w:bCs/>
            <w:color w:val="FF6E00"/>
            <w:u w:val="none"/>
            <w:lang w:val="en-PH"/>
          </w:rPr>
          <w:t>Securities Act of 1933</w:t>
        </w:r>
      </w:hyperlink>
      <w:r w:rsidRPr="00781686">
        <w:rPr>
          <w:rFonts w:eastAsia="Times New Roman"/>
          <w:bCs/>
          <w:lang w:val="en-PH"/>
        </w:rPr>
        <w:t> and the United States </w:t>
      </w:r>
      <w:hyperlink r:id="rId16" w:tgtFrame="_blank" w:history="1">
        <w:r w:rsidRPr="00781686">
          <w:rPr>
            <w:rStyle w:val="Hyperlink"/>
            <w:rFonts w:eastAsia="Times New Roman"/>
            <w:bCs/>
            <w:color w:val="FF6E00"/>
            <w:u w:val="none"/>
            <w:lang w:val="en-PH"/>
          </w:rPr>
          <w:t>Securities Exchange Act of 1934</w:t>
        </w:r>
      </w:hyperlink>
      <w:r w:rsidRPr="00781686">
        <w:rPr>
          <w:rFonts w:eastAsia="Times New Roman"/>
          <w:bCs/>
          <w:lang w:val="en-PH"/>
        </w:rPr>
        <w:t>, reflecting the staff’s observations during its review of recent ETP registration filings. This staff statement is directed at crypto ETP sponsors, legal counsel, compliance officers, and investment professionals involved in product development and US SEC reporting. The Division has expressly clarified that the statement is a staff view, not a rule, regulation, or official position of the Commission. it creates no new or additional obligations. The crypto asset ETPs discussed are not registered as investment companies under the Investment Company Act of 1940, and therefore are not subject to the Investment Company Act’s valuation, custody, or governance requirements.</w:t>
      </w:r>
    </w:p>
    <w:p w14:paraId="6BACDA9F" w14:textId="77777777" w:rsidR="00781686" w:rsidRPr="00781686" w:rsidRDefault="00781686" w:rsidP="00781686">
      <w:pPr>
        <w:jc w:val="both"/>
        <w:rPr>
          <w:rFonts w:eastAsia="Times New Roman"/>
          <w:bCs/>
          <w:lang w:val="en-PH"/>
        </w:rPr>
      </w:pPr>
      <w:r w:rsidRPr="00781686">
        <w:rPr>
          <w:rFonts w:eastAsia="Times New Roman"/>
          <w:bCs/>
          <w:u w:val="single"/>
          <w:lang w:val="en-PH"/>
        </w:rPr>
        <w:t>Cover Page Disclosures</w:t>
      </w:r>
    </w:p>
    <w:p w14:paraId="614BF388" w14:textId="77777777" w:rsidR="00781686" w:rsidRPr="00781686" w:rsidRDefault="00781686" w:rsidP="00781686">
      <w:pPr>
        <w:jc w:val="both"/>
        <w:rPr>
          <w:rFonts w:eastAsia="Times New Roman"/>
          <w:bCs/>
          <w:lang w:val="en-PH"/>
        </w:rPr>
      </w:pPr>
      <w:r w:rsidRPr="00781686">
        <w:rPr>
          <w:rFonts w:eastAsia="Times New Roman"/>
          <w:bCs/>
          <w:lang w:val="en-PH"/>
        </w:rPr>
        <w:t>The US SEC requires crypton asset ETP issuers to include key offering details on the front cover page of the prospectus. For crypto asset ETPs, this includes disclosure of the initial offering price. The staff statement has observed that crypto asset ETP issuers often identify the initial authorised participant (</w:t>
      </w:r>
      <w:r w:rsidRPr="00781686">
        <w:rPr>
          <w:rFonts w:eastAsia="Times New Roman"/>
          <w:b/>
          <w:bCs/>
          <w:lang w:val="en-PH"/>
        </w:rPr>
        <w:t>AP</w:t>
      </w:r>
      <w:r w:rsidRPr="00781686">
        <w:rPr>
          <w:rFonts w:eastAsia="Times New Roman"/>
          <w:bCs/>
          <w:lang w:val="en-PH"/>
        </w:rPr>
        <w:t>) or initial purchaser as a statutory underwriter, which is consistent with regulatory expectations.</w:t>
      </w:r>
    </w:p>
    <w:p w14:paraId="39CA864B" w14:textId="77777777" w:rsidR="00781686" w:rsidRPr="00781686" w:rsidRDefault="00781686" w:rsidP="00781686">
      <w:pPr>
        <w:jc w:val="both"/>
        <w:rPr>
          <w:rFonts w:eastAsia="Times New Roman"/>
          <w:bCs/>
          <w:lang w:val="en-PH"/>
        </w:rPr>
      </w:pPr>
      <w:r w:rsidRPr="00781686">
        <w:rPr>
          <w:rFonts w:eastAsia="Times New Roman"/>
          <w:bCs/>
          <w:u w:val="single"/>
          <w:lang w:val="en-PH"/>
        </w:rPr>
        <w:t>Prospectus Summary</w:t>
      </w:r>
    </w:p>
    <w:p w14:paraId="298EB594" w14:textId="77777777" w:rsidR="00781686" w:rsidRPr="00781686" w:rsidRDefault="00781686" w:rsidP="00781686">
      <w:pPr>
        <w:jc w:val="both"/>
        <w:rPr>
          <w:rFonts w:eastAsia="Times New Roman"/>
          <w:bCs/>
          <w:lang w:val="en-PH"/>
        </w:rPr>
      </w:pPr>
      <w:r w:rsidRPr="00781686">
        <w:rPr>
          <w:rFonts w:eastAsia="Times New Roman"/>
          <w:bCs/>
          <w:lang w:val="en-PH"/>
        </w:rPr>
        <w:t>Crypto ETP issuers are required to provide a clear, plain English summary of key aspects of the offering. Effective summaries identify the most significant elements of the offering and avoid simply repeating the prospectus text. The staff has noted disclosures that describe the trust’s investment objective, the underlying crypto assets, and the associated networks. crypto asset ETP issuers also disclose how underlying assets are managed, including any restrictions on usage, and the treatment of incidental rights such as forks and airdrops. A point consistently disclosed is that the crypto assets held per share will decrease over time as assets are sold to pay fees and expenses.</w:t>
      </w:r>
    </w:p>
    <w:p w14:paraId="62D8A96F" w14:textId="77777777" w:rsidR="00781686" w:rsidRPr="00781686" w:rsidRDefault="00781686" w:rsidP="00781686">
      <w:pPr>
        <w:jc w:val="both"/>
        <w:rPr>
          <w:rFonts w:eastAsia="Times New Roman"/>
          <w:bCs/>
          <w:lang w:val="en-PH"/>
        </w:rPr>
      </w:pPr>
      <w:r w:rsidRPr="00781686">
        <w:rPr>
          <w:rFonts w:eastAsia="Times New Roman"/>
          <w:bCs/>
          <w:u w:val="single"/>
          <w:lang w:val="en-PH"/>
        </w:rPr>
        <w:t>Risk Factors</w:t>
      </w:r>
    </w:p>
    <w:p w14:paraId="2CE8E9C8" w14:textId="77777777" w:rsidR="00781686" w:rsidRPr="00781686" w:rsidRDefault="00781686" w:rsidP="00781686">
      <w:pPr>
        <w:jc w:val="both"/>
        <w:rPr>
          <w:rFonts w:eastAsia="Times New Roman"/>
          <w:bCs/>
          <w:lang w:val="en-PH"/>
        </w:rPr>
      </w:pPr>
      <w:r w:rsidRPr="00781686">
        <w:rPr>
          <w:rFonts w:eastAsia="Times New Roman"/>
          <w:bCs/>
          <w:lang w:val="en-PH"/>
        </w:rPr>
        <w:t xml:space="preserve">The staff statement emphasises that risk disclosures must focus on material and crypto asset ETP issuer-specific risks. Generic risks that could apply to any crypto asset ETP issuer are discouraged. Examples of observed disclosures include risks related to the price volatility of crypto assets, theft or loss of private keys, market manipulation, and cybersecurity threats. Other risks relate to network attacks, concentration </w:t>
      </w:r>
      <w:r w:rsidRPr="00781686">
        <w:rPr>
          <w:rFonts w:eastAsia="Times New Roman"/>
          <w:bCs/>
          <w:lang w:val="en-PH"/>
        </w:rPr>
        <w:lastRenderedPageBreak/>
        <w:t>of ownership, loss of miner or validator incentives, competitive pressure, and dependency on third-party service providers, including APs and custodians.</w:t>
      </w:r>
    </w:p>
    <w:p w14:paraId="7E5D6B0E" w14:textId="77777777" w:rsidR="00781686" w:rsidRPr="00781686" w:rsidRDefault="00781686" w:rsidP="00781686">
      <w:pPr>
        <w:jc w:val="both"/>
        <w:rPr>
          <w:rFonts w:eastAsia="Times New Roman"/>
          <w:bCs/>
          <w:lang w:val="en-PH"/>
        </w:rPr>
      </w:pPr>
      <w:r w:rsidRPr="00781686">
        <w:rPr>
          <w:rFonts w:eastAsia="Times New Roman"/>
          <w:bCs/>
          <w:u w:val="single"/>
          <w:lang w:val="en-PH"/>
        </w:rPr>
        <w:t>Description of Business</w:t>
      </w:r>
    </w:p>
    <w:p w14:paraId="60E0EA46" w14:textId="77777777" w:rsidR="00781686" w:rsidRPr="00781686" w:rsidRDefault="00781686" w:rsidP="00781686">
      <w:pPr>
        <w:jc w:val="both"/>
        <w:rPr>
          <w:rFonts w:eastAsia="Times New Roman"/>
          <w:bCs/>
          <w:lang w:val="en-PH"/>
        </w:rPr>
      </w:pPr>
      <w:r w:rsidRPr="00781686">
        <w:rPr>
          <w:rFonts w:eastAsia="Times New Roman"/>
          <w:bCs/>
          <w:lang w:val="en-PH"/>
        </w:rPr>
        <w:t>Crypto asset ETP issuers typically describe the nature of the trust, its assets, and business operations. The staff statement has observed disclosures covering the characteristics of the underlying crypto assets, including how they are minted, staked, burned, and validated. Issuers also provide details on the associated crypto networks, such as consensus mechanisms, fee structures, and use cases. The statement notes that this information should be presented in clear and accessible language, avoiding unnecessary technical jargon.</w:t>
      </w:r>
    </w:p>
    <w:p w14:paraId="2F8878BD" w14:textId="77777777" w:rsidR="00781686" w:rsidRPr="00781686" w:rsidRDefault="00781686" w:rsidP="00781686">
      <w:pPr>
        <w:jc w:val="both"/>
        <w:rPr>
          <w:rFonts w:eastAsia="Times New Roman"/>
          <w:bCs/>
          <w:lang w:val="en-PH"/>
        </w:rPr>
      </w:pPr>
      <w:r w:rsidRPr="00781686">
        <w:rPr>
          <w:rFonts w:eastAsia="Times New Roman"/>
          <w:bCs/>
          <w:u w:val="single"/>
          <w:lang w:val="en-PH"/>
        </w:rPr>
        <w:t>Index or Benchmark</w:t>
      </w:r>
    </w:p>
    <w:p w14:paraId="218CC76C" w14:textId="77777777" w:rsidR="00781686" w:rsidRPr="00781686" w:rsidRDefault="00781686" w:rsidP="00781686">
      <w:pPr>
        <w:jc w:val="both"/>
        <w:rPr>
          <w:rFonts w:eastAsia="Times New Roman"/>
          <w:bCs/>
          <w:lang w:val="en-PH"/>
        </w:rPr>
      </w:pPr>
      <w:r w:rsidRPr="00781686">
        <w:rPr>
          <w:rFonts w:eastAsia="Times New Roman"/>
          <w:bCs/>
          <w:lang w:val="en-PH"/>
        </w:rPr>
        <w:t>Where the ETP tracks an index or benchmark, the staff expects disclosure of the constituent platforms, methodology for calculation, and selection criteria. Issuers are also disclosing information about oversight committees, and whether the sponsor has the discretion to change the benchmark. Material changes to the benchmark should be communicated to investors in a timely and transparent manner.</w:t>
      </w:r>
    </w:p>
    <w:p w14:paraId="30CB4F21" w14:textId="77777777" w:rsidR="00781686" w:rsidRPr="00781686" w:rsidRDefault="00781686" w:rsidP="00781686">
      <w:pPr>
        <w:jc w:val="both"/>
        <w:rPr>
          <w:rFonts w:eastAsia="Times New Roman"/>
          <w:bCs/>
          <w:lang w:val="en-PH"/>
        </w:rPr>
      </w:pPr>
      <w:r w:rsidRPr="00781686">
        <w:rPr>
          <w:rFonts w:eastAsia="Times New Roman"/>
          <w:bCs/>
          <w:u w:val="single"/>
          <w:lang w:val="en-PH"/>
        </w:rPr>
        <w:t>NAV Calculation</w:t>
      </w:r>
    </w:p>
    <w:p w14:paraId="02A7771D" w14:textId="77777777" w:rsidR="00781686" w:rsidRPr="00781686" w:rsidRDefault="00781686" w:rsidP="00781686">
      <w:pPr>
        <w:jc w:val="both"/>
        <w:rPr>
          <w:rFonts w:eastAsia="Times New Roman"/>
          <w:bCs/>
          <w:lang w:val="en-PH"/>
        </w:rPr>
      </w:pPr>
      <w:r w:rsidRPr="00781686">
        <w:rPr>
          <w:rFonts w:eastAsia="Times New Roman"/>
          <w:bCs/>
          <w:lang w:val="en-PH"/>
        </w:rPr>
        <w:t>Crypto asset ETP issuers must explain the methodology used to calculate the net asset value (</w:t>
      </w:r>
      <w:r w:rsidRPr="00781686">
        <w:rPr>
          <w:rFonts w:eastAsia="Times New Roman"/>
          <w:b/>
          <w:bCs/>
          <w:lang w:val="en-PH"/>
        </w:rPr>
        <w:t>NAV</w:t>
      </w:r>
      <w:r w:rsidRPr="00781686">
        <w:rPr>
          <w:rFonts w:eastAsia="Times New Roman"/>
          <w:bCs/>
          <w:lang w:val="en-PH"/>
        </w:rPr>
        <w:t>) of the trust’s assets. If the NAV methodology differs from that used for GAAP-compliant fair value, the differences must be clearly described. Where a third-party valuation service or a secondary benchmark is used, the sponsor’s agreements and licensing arrangements should be disclosed.</w:t>
      </w:r>
    </w:p>
    <w:p w14:paraId="6D914A01" w14:textId="77777777" w:rsidR="00781686" w:rsidRPr="00781686" w:rsidRDefault="00781686" w:rsidP="00781686">
      <w:pPr>
        <w:jc w:val="both"/>
        <w:rPr>
          <w:rFonts w:eastAsia="Times New Roman"/>
          <w:bCs/>
          <w:lang w:val="en-PH"/>
        </w:rPr>
      </w:pPr>
      <w:r w:rsidRPr="00781686">
        <w:rPr>
          <w:rFonts w:eastAsia="Times New Roman"/>
          <w:bCs/>
          <w:u w:val="single"/>
          <w:lang w:val="en-PH"/>
        </w:rPr>
        <w:t>Service Providers and Custody of Assets</w:t>
      </w:r>
    </w:p>
    <w:p w14:paraId="79D10A96" w14:textId="77777777" w:rsidR="00781686" w:rsidRPr="00781686" w:rsidRDefault="00781686" w:rsidP="00781686">
      <w:pPr>
        <w:jc w:val="both"/>
        <w:rPr>
          <w:rFonts w:eastAsia="Times New Roman"/>
          <w:bCs/>
          <w:lang w:val="en-PH"/>
        </w:rPr>
      </w:pPr>
      <w:r w:rsidRPr="00781686">
        <w:rPr>
          <w:rFonts w:eastAsia="Times New Roman"/>
          <w:bCs/>
          <w:lang w:val="en-PH"/>
        </w:rPr>
        <w:t>The operation of a crypto asset ETP often involves multiple service providers, including sponsors, custodians, and authorised participants. Crypto asset ETP issuers typically disclose the identity and material terms of agreements with these parties, many of which are filed as exhibits. With respect to custody, Crypto asset ETP issuers disclose storage practices (cold, warm, or hot wallets), whether assets are commingled, and who has access to private keys. They must also address whether and to what extent the custodian carries insurance and how coverage applies across customers.</w:t>
      </w:r>
    </w:p>
    <w:p w14:paraId="639027EF" w14:textId="77777777" w:rsidR="00781686" w:rsidRPr="00781686" w:rsidRDefault="00781686" w:rsidP="00781686">
      <w:pPr>
        <w:jc w:val="both"/>
        <w:rPr>
          <w:rFonts w:eastAsia="Times New Roman"/>
          <w:bCs/>
          <w:lang w:val="en-PH"/>
        </w:rPr>
      </w:pPr>
      <w:r w:rsidRPr="00781686">
        <w:rPr>
          <w:rFonts w:eastAsia="Times New Roman"/>
          <w:bCs/>
          <w:u w:val="single"/>
          <w:lang w:val="en-PH"/>
        </w:rPr>
        <w:t>Fees and Expenses</w:t>
      </w:r>
    </w:p>
    <w:p w14:paraId="2C58D703" w14:textId="77777777" w:rsidR="00781686" w:rsidRPr="00781686" w:rsidRDefault="00781686" w:rsidP="00781686">
      <w:pPr>
        <w:jc w:val="both"/>
        <w:rPr>
          <w:rFonts w:eastAsia="Times New Roman"/>
          <w:bCs/>
          <w:lang w:val="en-PH"/>
        </w:rPr>
      </w:pPr>
      <w:r w:rsidRPr="00781686">
        <w:rPr>
          <w:rFonts w:eastAsia="Times New Roman"/>
          <w:bCs/>
          <w:lang w:val="en-PH"/>
        </w:rPr>
        <w:t>Disclosures must clarify how the sponsor fee is calculated and whether it covers specific operational costs. Any third-party transaction fees, limits on fees, or payment mechanisms using the trust’s crypto assets must be included. The staff also expects disclosures regarding any unassumed expenses or caps on costs imposed by the sponsor.</w:t>
      </w:r>
    </w:p>
    <w:p w14:paraId="673D6A1A" w14:textId="77777777" w:rsidR="00781686" w:rsidRPr="00781686" w:rsidRDefault="00781686" w:rsidP="00781686">
      <w:pPr>
        <w:jc w:val="both"/>
        <w:rPr>
          <w:rFonts w:eastAsia="Times New Roman"/>
          <w:bCs/>
          <w:lang w:val="en-PH"/>
        </w:rPr>
      </w:pPr>
      <w:r w:rsidRPr="00781686">
        <w:rPr>
          <w:rFonts w:eastAsia="Times New Roman"/>
          <w:bCs/>
          <w:u w:val="single"/>
          <w:lang w:val="en-PH"/>
        </w:rPr>
        <w:t>Description of Securities</w:t>
      </w:r>
    </w:p>
    <w:p w14:paraId="3A1C4362" w14:textId="77777777" w:rsidR="00781686" w:rsidRPr="00781686" w:rsidRDefault="00781686" w:rsidP="00781686">
      <w:pPr>
        <w:jc w:val="both"/>
        <w:rPr>
          <w:rFonts w:eastAsia="Times New Roman"/>
          <w:bCs/>
          <w:lang w:val="en-PH"/>
        </w:rPr>
      </w:pPr>
      <w:r w:rsidRPr="00781686">
        <w:rPr>
          <w:rFonts w:eastAsia="Times New Roman"/>
          <w:bCs/>
          <w:lang w:val="en-PH"/>
        </w:rPr>
        <w:t>Crypto asset ETP issuers are required to describe the nature and rights of the securities being offered. For crypto ETPs, this typically includes disclosure of voting rights (or their absence), the circumstances under which rights may be modified, and how investors are notified of amendments or termination of the trust agreement.</w:t>
      </w:r>
    </w:p>
    <w:p w14:paraId="6951DB91" w14:textId="77777777" w:rsidR="00781686" w:rsidRPr="00781686" w:rsidRDefault="00781686" w:rsidP="00781686">
      <w:pPr>
        <w:jc w:val="both"/>
        <w:rPr>
          <w:rFonts w:eastAsia="Times New Roman"/>
          <w:bCs/>
          <w:lang w:val="en-PH"/>
        </w:rPr>
      </w:pPr>
      <w:r w:rsidRPr="00781686">
        <w:rPr>
          <w:rFonts w:eastAsia="Times New Roman"/>
          <w:bCs/>
          <w:u w:val="single"/>
          <w:lang w:val="en-PH"/>
        </w:rPr>
        <w:t>Plan of Distribution</w:t>
      </w:r>
    </w:p>
    <w:p w14:paraId="04614922" w14:textId="77777777" w:rsidR="00781686" w:rsidRPr="00781686" w:rsidRDefault="00781686" w:rsidP="00781686">
      <w:pPr>
        <w:jc w:val="both"/>
        <w:rPr>
          <w:rFonts w:eastAsia="Times New Roman"/>
          <w:bCs/>
          <w:lang w:val="en-PH"/>
        </w:rPr>
      </w:pPr>
      <w:r w:rsidRPr="00781686">
        <w:rPr>
          <w:rFonts w:eastAsia="Times New Roman"/>
          <w:bCs/>
          <w:lang w:val="en-PH"/>
        </w:rPr>
        <w:lastRenderedPageBreak/>
        <w:t>This section outlines how securities will be sold. The staff has observed disclosures describing the creation and redemption process, involvement of APs, and how settlements occur, whether onchain or offchain. Crypto asset ETP issuers must disclose how market volatility or trading platform outages could affect the arbitrage mechanism, and under what circumstances creation and redemption may be suspended. Clear notification processes for such suspensions are expected.</w:t>
      </w:r>
    </w:p>
    <w:p w14:paraId="233F4FB5" w14:textId="77777777" w:rsidR="00781686" w:rsidRPr="00781686" w:rsidRDefault="00781686" w:rsidP="00781686">
      <w:pPr>
        <w:jc w:val="both"/>
        <w:rPr>
          <w:rFonts w:eastAsia="Times New Roman"/>
          <w:bCs/>
          <w:lang w:val="en-PH"/>
        </w:rPr>
      </w:pPr>
      <w:r w:rsidRPr="00781686">
        <w:rPr>
          <w:rFonts w:eastAsia="Times New Roman"/>
          <w:bCs/>
          <w:u w:val="single"/>
          <w:lang w:val="en-PH"/>
        </w:rPr>
        <w:t>Management and Governance</w:t>
      </w:r>
    </w:p>
    <w:p w14:paraId="4EE188A0" w14:textId="77777777" w:rsidR="00781686" w:rsidRPr="00781686" w:rsidRDefault="00781686" w:rsidP="00781686">
      <w:pPr>
        <w:jc w:val="both"/>
        <w:rPr>
          <w:rFonts w:eastAsia="Times New Roman"/>
          <w:bCs/>
          <w:lang w:val="en-PH"/>
        </w:rPr>
      </w:pPr>
      <w:r w:rsidRPr="00781686">
        <w:rPr>
          <w:rFonts w:eastAsia="Times New Roman"/>
          <w:bCs/>
          <w:lang w:val="en-PH"/>
        </w:rPr>
        <w:t>Crypto ETPs often do not have traditional boards or officers but rely on the sponsor’s directors and executives. Where the sponsor performs policy-making functions, relevant individuals must be identified with appropriate experience disclosure. Executive compensation rules may not apply, but fees paid to the sponsor or third-party providers must be disclosed.</w:t>
      </w:r>
    </w:p>
    <w:p w14:paraId="3D4352F8" w14:textId="77777777" w:rsidR="00781686" w:rsidRPr="00781686" w:rsidRDefault="00781686" w:rsidP="00781686">
      <w:pPr>
        <w:jc w:val="both"/>
        <w:rPr>
          <w:rFonts w:eastAsia="Times New Roman"/>
          <w:bCs/>
          <w:lang w:val="en-PH"/>
        </w:rPr>
      </w:pPr>
      <w:r w:rsidRPr="00781686">
        <w:rPr>
          <w:rFonts w:eastAsia="Times New Roman"/>
          <w:bCs/>
          <w:u w:val="single"/>
          <w:lang w:val="en-PH"/>
        </w:rPr>
        <w:t>Conflicts of Interest</w:t>
      </w:r>
    </w:p>
    <w:p w14:paraId="5AD2BCB3" w14:textId="77777777" w:rsidR="00781686" w:rsidRPr="00781686" w:rsidRDefault="00781686" w:rsidP="00781686">
      <w:pPr>
        <w:jc w:val="both"/>
        <w:rPr>
          <w:rFonts w:eastAsia="Times New Roman"/>
          <w:bCs/>
          <w:lang w:val="en-PH"/>
        </w:rPr>
      </w:pPr>
      <w:r w:rsidRPr="00781686">
        <w:rPr>
          <w:rFonts w:eastAsia="Times New Roman"/>
          <w:bCs/>
          <w:lang w:val="en-PH"/>
        </w:rPr>
        <w:t>The SEC expects clear disclosure of any actual or potential conflicts of interest. This includes whether the sponsor or insiders hold crypto assets or have market exposure that could bias their decisions. Crypto asset ETP issuers also disclose whether they have codes of conduct or pre-clearance procedures for transactions by employees or affiliates, and the sponsor’s experience with other ETPs and the crypto market.</w:t>
      </w:r>
    </w:p>
    <w:p w14:paraId="619DF93D" w14:textId="77777777" w:rsidR="00781686" w:rsidRPr="00781686" w:rsidRDefault="00781686" w:rsidP="00781686">
      <w:pPr>
        <w:jc w:val="both"/>
        <w:rPr>
          <w:rFonts w:eastAsia="Times New Roman"/>
          <w:bCs/>
          <w:lang w:val="en-PH"/>
        </w:rPr>
      </w:pPr>
      <w:r w:rsidRPr="00781686">
        <w:rPr>
          <w:rFonts w:eastAsia="Times New Roman"/>
          <w:bCs/>
          <w:u w:val="single"/>
          <w:lang w:val="en-PH"/>
        </w:rPr>
        <w:t>Financial Statements</w:t>
      </w:r>
    </w:p>
    <w:p w14:paraId="046F8DAD" w14:textId="77777777" w:rsidR="00781686" w:rsidRPr="00781686" w:rsidRDefault="00781686" w:rsidP="00781686">
      <w:pPr>
        <w:jc w:val="both"/>
        <w:rPr>
          <w:rFonts w:eastAsia="Times New Roman"/>
          <w:bCs/>
          <w:lang w:val="en-PH"/>
        </w:rPr>
      </w:pPr>
      <w:r w:rsidRPr="00781686">
        <w:rPr>
          <w:rFonts w:eastAsia="Times New Roman"/>
          <w:bCs/>
          <w:lang w:val="en-PH"/>
        </w:rPr>
        <w:t>Where Crypto asset ETP issuers operate through multiple series trusts or partnerships, the SEC staff position is that the trust or partnership is the registrant, but separate financial statements should be provided for each series. Issuers must also assess materiality separately for each series under Regulation S-K and Regulation S-X.</w:t>
      </w:r>
    </w:p>
    <w:p w14:paraId="469AEAA2" w14:textId="77777777" w:rsidR="00781686" w:rsidRPr="00781686" w:rsidRDefault="00781686" w:rsidP="00781686">
      <w:pPr>
        <w:jc w:val="both"/>
        <w:rPr>
          <w:rFonts w:eastAsia="Times New Roman"/>
          <w:bCs/>
          <w:lang w:val="en-PH"/>
        </w:rPr>
      </w:pPr>
      <w:r w:rsidRPr="00781686">
        <w:rPr>
          <w:rFonts w:eastAsia="Times New Roman"/>
          <w:bCs/>
          <w:u w:val="single"/>
          <w:lang w:val="en-PH"/>
        </w:rPr>
        <w:t>Filing Fee Tables</w:t>
      </w:r>
    </w:p>
    <w:p w14:paraId="402818F3" w14:textId="77777777" w:rsidR="00781686" w:rsidRPr="00781686" w:rsidRDefault="00781686" w:rsidP="00781686">
      <w:pPr>
        <w:jc w:val="both"/>
        <w:rPr>
          <w:rFonts w:eastAsia="Times New Roman"/>
          <w:bCs/>
          <w:lang w:val="en-PH"/>
        </w:rPr>
      </w:pPr>
      <w:r w:rsidRPr="00781686">
        <w:rPr>
          <w:rFonts w:eastAsia="Times New Roman"/>
          <w:bCs/>
          <w:lang w:val="en-PH"/>
        </w:rPr>
        <w:t>Crypto asset ETP issuers registering offerings of an indeterminate number of ETP securities under Rules 456(d) and 457(u) must tag EDGAR submissions correctly. The correct “Type of payment” is “2” and “Security type” is “Exchange-Traded Vehicle Securities.” Failure to tag these fields correctly may prevent proper submission of post-effective amendments under Rule 424(i) and timely fee payments.</w:t>
      </w:r>
    </w:p>
    <w:p w14:paraId="5D5202C9" w14:textId="77777777" w:rsidR="00781686" w:rsidRPr="00781686" w:rsidRDefault="00781686" w:rsidP="00781686">
      <w:pPr>
        <w:jc w:val="both"/>
        <w:rPr>
          <w:rFonts w:eastAsia="Times New Roman"/>
          <w:bCs/>
          <w:lang w:val="en-PH"/>
        </w:rPr>
      </w:pPr>
      <w:r w:rsidRPr="00781686">
        <w:rPr>
          <w:rFonts w:eastAsia="Times New Roman"/>
          <w:bCs/>
          <w:lang w:val="en-PH"/>
        </w:rPr>
        <w:t>(Source: </w:t>
      </w:r>
      <w:hyperlink r:id="rId17" w:tgtFrame="_blank" w:history="1">
        <w:r w:rsidRPr="00781686">
          <w:rPr>
            <w:rStyle w:val="Hyperlink"/>
            <w:rFonts w:eastAsia="Times New Roman"/>
            <w:bCs/>
            <w:color w:val="FF6E00"/>
            <w:lang w:val="en-PH"/>
          </w:rPr>
          <w:t>https://www.sec.gov/newsroom/speeches-statements/cf-crypto-asset-exchange-traded-products-070125</w:t>
        </w:r>
      </w:hyperlink>
      <w:r w:rsidRPr="00781686">
        <w:rPr>
          <w:rFonts w:eastAsia="Times New Roman"/>
          <w:bCs/>
          <w:lang w:val="en-PH"/>
        </w:rPr>
        <w:t>)</w:t>
      </w:r>
    </w:p>
    <w:p w14:paraId="315A6D9A" w14:textId="77777777" w:rsidR="00E12430" w:rsidRDefault="00E12430" w:rsidP="006B4E27">
      <w:pPr>
        <w:jc w:val="both"/>
        <w:rPr>
          <w:rFonts w:eastAsia="Times New Roman"/>
          <w:bCs/>
          <w:lang w:val="en-PH"/>
        </w:rPr>
      </w:pPr>
    </w:p>
    <w:p w14:paraId="29AFEB8A" w14:textId="77777777" w:rsidR="009F53CF" w:rsidRPr="009F53CF" w:rsidRDefault="009F53CF" w:rsidP="009F53CF">
      <w:pPr>
        <w:jc w:val="both"/>
        <w:rPr>
          <w:b/>
          <w:bCs/>
          <w:color w:val="FF6E00"/>
          <w:lang w:val="en-PH"/>
        </w:rPr>
      </w:pPr>
      <w:r w:rsidRPr="009F53CF">
        <w:rPr>
          <w:b/>
          <w:bCs/>
          <w:color w:val="FF6E00"/>
          <w:lang w:val="en-PH"/>
        </w:rPr>
        <w:t>Hong Kong SFC Convenes Second Digital Asset Consultative Panel Meeting to Advance ASPIRe Roadmap Initiatives</w:t>
      </w:r>
    </w:p>
    <w:p w14:paraId="0FE833AE" w14:textId="77777777" w:rsidR="009410E7" w:rsidRPr="009410E7" w:rsidRDefault="009410E7" w:rsidP="009410E7">
      <w:pPr>
        <w:jc w:val="both"/>
        <w:rPr>
          <w:rFonts w:eastAsia="Times New Roman"/>
          <w:bCs/>
          <w:lang w:val="en-IN"/>
        </w:rPr>
      </w:pPr>
      <w:r w:rsidRPr="009410E7">
        <w:rPr>
          <w:rFonts w:eastAsia="Times New Roman"/>
          <w:bCs/>
          <w:lang w:val="en-IN"/>
        </w:rPr>
        <w:t>On 7 July 2025, the Hong Kong Securities and Futures Commission (</w:t>
      </w:r>
      <w:r w:rsidRPr="009410E7">
        <w:rPr>
          <w:rFonts w:eastAsia="Times New Roman"/>
          <w:b/>
          <w:lang w:val="en-IN"/>
        </w:rPr>
        <w:t>HK SFC</w:t>
      </w:r>
      <w:r w:rsidRPr="009410E7">
        <w:rPr>
          <w:rFonts w:eastAsia="Times New Roman"/>
          <w:bCs/>
          <w:lang w:val="en-IN"/>
        </w:rPr>
        <w:t>) convened the second meeting of its </w:t>
      </w:r>
      <w:hyperlink r:id="rId18" w:history="1">
        <w:r w:rsidRPr="009410E7">
          <w:rPr>
            <w:rStyle w:val="Hyperlink"/>
            <w:rFonts w:eastAsia="Times New Roman"/>
            <w:bCs/>
            <w:i/>
            <w:iCs/>
            <w:color w:val="FF6E00"/>
            <w:u w:val="none"/>
            <w:lang w:val="en-IN"/>
          </w:rPr>
          <w:t>Digital Asset Consultative Panel</w:t>
        </w:r>
      </w:hyperlink>
      <w:r w:rsidRPr="009410E7">
        <w:rPr>
          <w:rFonts w:eastAsia="Times New Roman"/>
          <w:bCs/>
          <w:i/>
          <w:iCs/>
          <w:lang w:val="en-IN"/>
        </w:rPr>
        <w:t xml:space="preserve"> (</w:t>
      </w:r>
      <w:r w:rsidRPr="009410E7">
        <w:rPr>
          <w:rFonts w:eastAsia="Times New Roman"/>
          <w:b/>
          <w:i/>
          <w:iCs/>
          <w:lang w:val="en-IN"/>
        </w:rPr>
        <w:t>DACP</w:t>
      </w:r>
      <w:r w:rsidRPr="009410E7">
        <w:rPr>
          <w:rFonts w:eastAsia="Times New Roman"/>
          <w:bCs/>
          <w:i/>
          <w:iCs/>
          <w:lang w:val="en-IN"/>
        </w:rPr>
        <w:t>)</w:t>
      </w:r>
      <w:r w:rsidRPr="009410E7">
        <w:rPr>
          <w:rFonts w:eastAsia="Times New Roman"/>
          <w:bCs/>
          <w:lang w:val="en-IN"/>
        </w:rPr>
        <w:t>, to engage directly with HK SFC-licensed virtual asset trading platforms on policy, regulatory, and market development issues. Central to the meeting was discussion of current and future initiatives under the </w:t>
      </w:r>
      <w:hyperlink r:id="rId19" w:history="1">
        <w:r w:rsidRPr="009410E7">
          <w:rPr>
            <w:rStyle w:val="Hyperlink"/>
            <w:rFonts w:eastAsia="Times New Roman"/>
            <w:bCs/>
            <w:i/>
            <w:iCs/>
            <w:color w:val="FF6E00"/>
            <w:u w:val="none"/>
            <w:lang w:val="en-IN"/>
          </w:rPr>
          <w:t>ASPIRe</w:t>
        </w:r>
        <w:r w:rsidRPr="009410E7">
          <w:rPr>
            <w:rStyle w:val="Hyperlink"/>
            <w:rFonts w:eastAsia="Times New Roman"/>
            <w:bCs/>
            <w:color w:val="FF6E00"/>
            <w:u w:val="none"/>
            <w:lang w:val="en-IN"/>
          </w:rPr>
          <w:t> roadmap</w:t>
        </w:r>
      </w:hyperlink>
      <w:r w:rsidRPr="009410E7">
        <w:rPr>
          <w:rFonts w:eastAsia="Times New Roman"/>
          <w:bCs/>
          <w:lang w:val="en-IN"/>
        </w:rPr>
        <w:t>, including the recently launched public consultations on legislative proposals to regulate virtual asset dealing and custodian services. The DACP forms a critical institutional channel for the HK SFC to collaborate with market stakeholders in shaping a robust and globally competitive digital asset regulatory ecosystem.</w:t>
      </w:r>
    </w:p>
    <w:p w14:paraId="5A135853" w14:textId="77777777" w:rsidR="009410E7" w:rsidRPr="009410E7" w:rsidRDefault="009410E7" w:rsidP="009410E7">
      <w:pPr>
        <w:jc w:val="both"/>
        <w:rPr>
          <w:rFonts w:eastAsia="Times New Roman"/>
          <w:bCs/>
          <w:lang w:val="en-IN"/>
        </w:rPr>
      </w:pPr>
      <w:r w:rsidRPr="009410E7">
        <w:rPr>
          <w:rFonts w:eastAsia="Times New Roman"/>
          <w:bCs/>
          <w:lang w:val="en-IN"/>
        </w:rPr>
        <w:lastRenderedPageBreak/>
        <w:t>The DACP meeting focused on several high-priority themes within the digital asset regulatory agenda, particularly, enhancing market accessibility (Pillar A) through appropriate licensing, onboarding, and compliance pathways for qualified participants; broadening the range of product offerings (Pillar P) within a safe and transparent regulatory framework; and discussing the ongoing </w:t>
      </w:r>
      <w:r w:rsidRPr="009410E7">
        <w:rPr>
          <w:rFonts w:eastAsia="Times New Roman"/>
          <w:bCs/>
          <w:i/>
          <w:iCs/>
          <w:lang w:val="en-IN"/>
        </w:rPr>
        <w:t>Public Consultation on Legislative Proposal to Regulate Dealing in Virtual Assets</w:t>
      </w:r>
      <w:r w:rsidRPr="009410E7">
        <w:rPr>
          <w:rFonts w:eastAsia="Times New Roman"/>
          <w:bCs/>
          <w:lang w:val="en-IN"/>
        </w:rPr>
        <w:t> and </w:t>
      </w:r>
      <w:r w:rsidRPr="009410E7">
        <w:rPr>
          <w:rFonts w:eastAsia="Times New Roman"/>
          <w:bCs/>
          <w:i/>
          <w:iCs/>
          <w:lang w:val="en-IN"/>
        </w:rPr>
        <w:t>Public Consultation on Legislative Proposal to Regulate Virtual Asset Custodian Services</w:t>
      </w:r>
      <w:r w:rsidRPr="009410E7">
        <w:rPr>
          <w:rFonts w:eastAsia="Times New Roman"/>
          <w:bCs/>
          <w:lang w:val="en-IN"/>
        </w:rPr>
        <w:t>, launched jointly by the HK SFC and the Financial Services and the Treasury Bureau (</w:t>
      </w:r>
      <w:r w:rsidRPr="009410E7">
        <w:rPr>
          <w:rFonts w:eastAsia="Times New Roman"/>
          <w:b/>
          <w:lang w:val="en-IN"/>
        </w:rPr>
        <w:t>FSTB</w:t>
      </w:r>
      <w:r w:rsidRPr="009410E7">
        <w:rPr>
          <w:rFonts w:eastAsia="Times New Roman"/>
          <w:bCs/>
          <w:lang w:val="en-IN"/>
        </w:rPr>
        <w:t>) on 27 June 2025.</w:t>
      </w:r>
    </w:p>
    <w:p w14:paraId="3330583F" w14:textId="77777777" w:rsidR="009410E7" w:rsidRPr="009410E7" w:rsidRDefault="009410E7" w:rsidP="009410E7">
      <w:pPr>
        <w:jc w:val="both"/>
        <w:rPr>
          <w:rFonts w:eastAsia="Times New Roman"/>
          <w:bCs/>
          <w:i/>
          <w:iCs/>
          <w:lang w:val="en-IN"/>
        </w:rPr>
      </w:pPr>
      <w:r w:rsidRPr="009410E7">
        <w:rPr>
          <w:rFonts w:eastAsia="Times New Roman"/>
          <w:bCs/>
          <w:lang w:val="en-IN"/>
        </w:rPr>
        <w:t>Dr Eric Yip, Executive Director of Intermediaries at the SFC and chair of the DACP, commented:</w:t>
      </w:r>
      <w:r w:rsidRPr="009410E7">
        <w:rPr>
          <w:rFonts w:eastAsia="Times New Roman"/>
          <w:bCs/>
          <w:lang w:val="en-IN"/>
        </w:rPr>
        <w:br/>
      </w:r>
      <w:r w:rsidRPr="009410E7">
        <w:rPr>
          <w:rFonts w:eastAsia="Times New Roman"/>
          <w:bCs/>
          <w:i/>
          <w:iCs/>
          <w:lang w:val="en-IN"/>
        </w:rPr>
        <w:t>“Today’s DACP meeting is constructive and insightful, underscoring the importance of engagement with licensed VATPs in nurturing a sustainable and competitive digital asset ecosystem.”</w:t>
      </w:r>
    </w:p>
    <w:p w14:paraId="60B63889" w14:textId="77777777" w:rsidR="009410E7" w:rsidRPr="009410E7" w:rsidRDefault="009410E7" w:rsidP="009410E7">
      <w:pPr>
        <w:jc w:val="both"/>
        <w:rPr>
          <w:rFonts w:eastAsia="Times New Roman"/>
          <w:bCs/>
          <w:lang w:val="en-IN"/>
        </w:rPr>
      </w:pPr>
      <w:r w:rsidRPr="009410E7">
        <w:rPr>
          <w:rFonts w:eastAsia="Times New Roman"/>
          <w:bCs/>
          <w:lang w:val="en-IN"/>
        </w:rPr>
        <w:t>The meeting also explored challenges in balancing investor protection and market innovation, in light of global scrutiny and rapidly evolving business models in digital asset markets. The DACP's role has been realigned with the Hong Kong Government’s Policy Statement 2.0 on the Development of Digital Assets, issued on 26 June 2025, which formalised a more unified digital asset regulatory lexicon and renamed the former “Virtual Asset Consultative Panel” to the Digital Asset Consultative Panel. This reflects a broader scope of engagement beyond just virtual assets to encompass all forms of tokenised and digital financial instruments.</w:t>
      </w:r>
    </w:p>
    <w:p w14:paraId="49A3BCD5" w14:textId="77777777" w:rsidR="009410E7" w:rsidRPr="009410E7" w:rsidRDefault="009410E7" w:rsidP="009410E7">
      <w:pPr>
        <w:jc w:val="both"/>
        <w:rPr>
          <w:rFonts w:eastAsia="Times New Roman"/>
          <w:bCs/>
          <w:lang w:val="en-IN"/>
        </w:rPr>
      </w:pPr>
      <w:r w:rsidRPr="009410E7">
        <w:rPr>
          <w:rFonts w:eastAsia="Times New Roman"/>
          <w:bCs/>
          <w:lang w:val="en-IN"/>
        </w:rPr>
        <w:t xml:space="preserve">The DACP is also embedded within Pillar Re (Relationships) of the HK SFC’s ASPIRe roadmap (announced on 19 February 2025), which calls for deepened regulator-market collaboration, with licensed digital asset intermediaries. </w:t>
      </w:r>
    </w:p>
    <w:p w14:paraId="299001C9" w14:textId="77777777" w:rsidR="009410E7" w:rsidRPr="009410E7" w:rsidRDefault="009410E7" w:rsidP="009410E7">
      <w:pPr>
        <w:rPr>
          <w:rFonts w:eastAsia="Times New Roman"/>
          <w:bCs/>
          <w:lang w:val="en-IN"/>
        </w:rPr>
      </w:pPr>
      <w:r w:rsidRPr="009410E7">
        <w:rPr>
          <w:rFonts w:eastAsia="Times New Roman"/>
          <w:bCs/>
          <w:lang w:val="en-IN"/>
        </w:rPr>
        <w:t xml:space="preserve">(Source: </w:t>
      </w:r>
      <w:hyperlink r:id="rId20" w:history="1">
        <w:r w:rsidRPr="009410E7">
          <w:rPr>
            <w:rStyle w:val="Hyperlink"/>
            <w:rFonts w:eastAsia="Times New Roman"/>
            <w:bCs/>
            <w:color w:val="FF6E00"/>
            <w:lang w:val="en-IN"/>
          </w:rPr>
          <w:t>https://apps.sfc.hk/edistributionWeb/gateway/EN/news-and-announcements/news/doc?refNo=25PR104</w:t>
        </w:r>
      </w:hyperlink>
      <w:r w:rsidRPr="009410E7">
        <w:rPr>
          <w:rFonts w:eastAsia="Times New Roman"/>
          <w:bCs/>
          <w:lang w:val="en-IN"/>
        </w:rPr>
        <w:t xml:space="preserve">) </w:t>
      </w:r>
    </w:p>
    <w:p w14:paraId="26390C34" w14:textId="77777777" w:rsidR="00E12430" w:rsidRDefault="00E12430" w:rsidP="006B4E27">
      <w:pPr>
        <w:jc w:val="both"/>
        <w:rPr>
          <w:rFonts w:eastAsia="Times New Roman"/>
          <w:bCs/>
          <w:lang w:val="en-PH"/>
        </w:rPr>
      </w:pPr>
    </w:p>
    <w:p w14:paraId="2688BDE7" w14:textId="77777777" w:rsidR="009F53CF" w:rsidRPr="009F53CF" w:rsidRDefault="009F53CF" w:rsidP="009F53CF">
      <w:pPr>
        <w:jc w:val="both"/>
        <w:rPr>
          <w:b/>
          <w:bCs/>
          <w:color w:val="FF6E00"/>
          <w:lang w:val="en-PH"/>
        </w:rPr>
      </w:pPr>
      <w:r w:rsidRPr="009F53CF">
        <w:rPr>
          <w:b/>
          <w:bCs/>
          <w:color w:val="FF6E00"/>
          <w:lang w:val="en-PH"/>
        </w:rPr>
        <w:t>US SEC Extends Review Period for Proposed Listing of Canary Staked TRX ETF on Cboe BZX</w:t>
      </w:r>
    </w:p>
    <w:p w14:paraId="38284791" w14:textId="77777777" w:rsidR="009F53CF" w:rsidRPr="009F53CF" w:rsidRDefault="009F53CF" w:rsidP="009F53CF">
      <w:pPr>
        <w:jc w:val="both"/>
        <w:rPr>
          <w:rFonts w:eastAsia="Times New Roman"/>
          <w:bCs/>
          <w:lang w:val="en-PH"/>
        </w:rPr>
      </w:pPr>
      <w:r w:rsidRPr="009F53CF">
        <w:rPr>
          <w:rFonts w:eastAsia="Times New Roman"/>
          <w:bCs/>
          <w:lang w:val="en-PH"/>
        </w:rPr>
        <w:t>On 9 July 2025, the United States Securities and Exchange Commission (</w:t>
      </w:r>
      <w:r w:rsidRPr="009F53CF">
        <w:rPr>
          <w:rFonts w:eastAsia="Times New Roman"/>
          <w:b/>
          <w:bCs/>
          <w:lang w:val="en-PH"/>
        </w:rPr>
        <w:t>US SEC</w:t>
      </w:r>
      <w:r w:rsidRPr="009F53CF">
        <w:rPr>
          <w:rFonts w:eastAsia="Times New Roman"/>
          <w:bCs/>
          <w:lang w:val="en-PH"/>
        </w:rPr>
        <w:t>) issued a </w:t>
      </w:r>
      <w:hyperlink r:id="rId21" w:tgtFrame="_blank" w:history="1">
        <w:r w:rsidRPr="009F53CF">
          <w:rPr>
            <w:rStyle w:val="Hyperlink"/>
            <w:rFonts w:eastAsia="Times New Roman"/>
            <w:bCs/>
            <w:color w:val="FF6E00"/>
            <w:u w:val="none"/>
            <w:lang w:val="en-PH"/>
          </w:rPr>
          <w:t>Notice of Designation of a Longer Period</w:t>
        </w:r>
      </w:hyperlink>
      <w:r w:rsidRPr="009F53CF">
        <w:rPr>
          <w:rFonts w:eastAsia="Times New Roman"/>
          <w:bCs/>
          <w:lang w:val="en-PH"/>
        </w:rPr>
        <w:t> for Commission Action on a Proposed Rule Change to List and Trade Shares of the Canary Staked TRX ETF under BZX Rule 14.11(e)(4), Commodity-Based Trust Shares, Release No. 34-103405 (File No. SR-CboeBZX-2025-069), designating a longer period for Commission action on a proposed rule change submitted by Cboe BZX Exchange, Inc. to list and trade shares of the Canary Staked TRX ETF under BZX Rule 14.11(e)(4), governing Commodity-Based Trust Shares.</w:t>
      </w:r>
    </w:p>
    <w:p w14:paraId="7C4E5BB1" w14:textId="77777777" w:rsidR="009F53CF" w:rsidRPr="009F53CF" w:rsidRDefault="009F53CF" w:rsidP="009F53CF">
      <w:pPr>
        <w:jc w:val="both"/>
        <w:rPr>
          <w:rFonts w:eastAsia="Times New Roman"/>
          <w:bCs/>
          <w:lang w:val="en-PH"/>
        </w:rPr>
      </w:pPr>
      <w:r w:rsidRPr="009F53CF">
        <w:rPr>
          <w:rFonts w:eastAsia="Times New Roman"/>
          <w:bCs/>
          <w:lang w:val="en-PH"/>
        </w:rPr>
        <w:t>The US SEC’s order extends the time for review of a proposed rule change filed under Section 19(b)(1) of the United States Securities Exchange Act of 1934 and US SEC </w:t>
      </w:r>
      <w:hyperlink r:id="rId22" w:tgtFrame="_blank" w:history="1">
        <w:r w:rsidRPr="009F53CF">
          <w:rPr>
            <w:rStyle w:val="Hyperlink"/>
            <w:rFonts w:eastAsia="Times New Roman"/>
            <w:bCs/>
            <w:color w:val="FF6E00"/>
            <w:u w:val="none"/>
            <w:lang w:val="en-PH"/>
          </w:rPr>
          <w:t>Rule 19b-4</w:t>
        </w:r>
      </w:hyperlink>
      <w:r w:rsidRPr="009F53CF">
        <w:rPr>
          <w:rFonts w:eastAsia="Times New Roman"/>
          <w:bCs/>
          <w:lang w:val="en-PH"/>
        </w:rPr>
        <w:t> thereunder. The proposal seeks approval to list and trade shares of the Canary Staked TRX ETF. Pursuant to Section 19(b)(2) of the United States Exchange Act, the US SEC has until 27 August 2025 to approve, disapprove, or institute proceedings to determine whether to approve or disapprove the proposal. The extension enables the Commission to consider the proposal and its implications more fully.</w:t>
      </w:r>
    </w:p>
    <w:p w14:paraId="65208338" w14:textId="77777777" w:rsidR="009F53CF" w:rsidRPr="009F53CF" w:rsidRDefault="009F53CF" w:rsidP="009F53CF">
      <w:pPr>
        <w:jc w:val="both"/>
        <w:rPr>
          <w:rFonts w:eastAsia="Times New Roman"/>
          <w:bCs/>
          <w:lang w:val="en-PH"/>
        </w:rPr>
      </w:pPr>
      <w:r w:rsidRPr="009F53CF">
        <w:rPr>
          <w:rFonts w:eastAsia="Times New Roman"/>
          <w:bCs/>
          <w:lang w:val="en-PH"/>
        </w:rPr>
        <w:t>The Canary Staked TRX ETF is proposed to be listed as a Commodity-Based Trust Share under BZX Rule 14.11(e)(4). The structure implies that the ETF would hold or be linked to staked TRX (</w:t>
      </w:r>
      <w:r w:rsidRPr="009F53CF">
        <w:rPr>
          <w:rFonts w:eastAsia="Times New Roman"/>
          <w:b/>
          <w:bCs/>
          <w:lang w:val="en-PH"/>
        </w:rPr>
        <w:t>Tron tokens</w:t>
      </w:r>
      <w:r w:rsidRPr="009F53CF">
        <w:rPr>
          <w:rFonts w:eastAsia="Times New Roman"/>
          <w:bCs/>
          <w:lang w:val="en-PH"/>
        </w:rPr>
        <w:t>), potentially generating staking rewards. The proposed rule change would permit the ETF to reflect the value of TRX with a mechanism for net asset value (</w:t>
      </w:r>
      <w:r w:rsidRPr="009F53CF">
        <w:rPr>
          <w:rFonts w:eastAsia="Times New Roman"/>
          <w:b/>
          <w:bCs/>
          <w:lang w:val="en-PH"/>
        </w:rPr>
        <w:t>NAV</w:t>
      </w:r>
      <w:r w:rsidRPr="009F53CF">
        <w:rPr>
          <w:rFonts w:eastAsia="Times New Roman"/>
          <w:bCs/>
          <w:lang w:val="en-PH"/>
        </w:rPr>
        <w:t xml:space="preserve">) calculation. The proposal may involve a </w:t>
      </w:r>
      <w:r w:rsidRPr="009F53CF">
        <w:rPr>
          <w:rFonts w:eastAsia="Times New Roman"/>
          <w:bCs/>
          <w:lang w:val="en-PH"/>
        </w:rPr>
        <w:lastRenderedPageBreak/>
        <w:t>designated sponsor and custodian, though the current order does not elaborate on the specific mechanics or entities involved.</w:t>
      </w:r>
    </w:p>
    <w:p w14:paraId="2B56E72B" w14:textId="77777777" w:rsidR="009F53CF" w:rsidRPr="009F53CF" w:rsidRDefault="009F53CF" w:rsidP="009F53CF">
      <w:pPr>
        <w:jc w:val="both"/>
        <w:rPr>
          <w:rFonts w:eastAsia="Times New Roman"/>
          <w:bCs/>
          <w:lang w:val="en-PH"/>
        </w:rPr>
      </w:pPr>
      <w:r w:rsidRPr="009F53CF">
        <w:rPr>
          <w:rFonts w:eastAsia="Times New Roman"/>
          <w:bCs/>
          <w:lang w:val="en-PH"/>
        </w:rPr>
        <w:t>The US SEC invoked Section 19(b)(2) of the United States Securities Exchange Act of 1934 to extend its review period, citing the need for sufficient time to evaluate the proposed rule change and the issues raised. The order states:</w:t>
      </w:r>
    </w:p>
    <w:p w14:paraId="3FEF1EB5" w14:textId="77777777" w:rsidR="009F53CF" w:rsidRPr="009F53CF" w:rsidRDefault="009F53CF" w:rsidP="009F53CF">
      <w:pPr>
        <w:jc w:val="both"/>
        <w:rPr>
          <w:rFonts w:eastAsia="Times New Roman"/>
          <w:bCs/>
          <w:lang w:val="en-PH"/>
        </w:rPr>
      </w:pPr>
      <w:r w:rsidRPr="009F53CF">
        <w:rPr>
          <w:rFonts w:eastAsia="Times New Roman"/>
          <w:bCs/>
          <w:lang w:val="en-PH"/>
        </w:rPr>
        <w:t>“</w:t>
      </w:r>
      <w:r w:rsidRPr="009F53CF">
        <w:rPr>
          <w:rFonts w:eastAsia="Times New Roman"/>
          <w:bCs/>
          <w:i/>
          <w:iCs/>
          <w:lang w:val="en-PH"/>
        </w:rPr>
        <w:t>The Commission finds it appropriate to designate a longer period within which to take action on the proposed rule change so that it has sufficient time to consider the proposed rule change and the issues raised therein.</w:t>
      </w:r>
      <w:r w:rsidRPr="009F53CF">
        <w:rPr>
          <w:rFonts w:eastAsia="Times New Roman"/>
          <w:bCs/>
          <w:lang w:val="en-PH"/>
        </w:rPr>
        <w:t>”</w:t>
      </w:r>
    </w:p>
    <w:p w14:paraId="5379E789" w14:textId="77777777" w:rsidR="009F53CF" w:rsidRPr="009F53CF" w:rsidRDefault="009F53CF" w:rsidP="009F53CF">
      <w:pPr>
        <w:jc w:val="both"/>
        <w:rPr>
          <w:rFonts w:eastAsia="Times New Roman"/>
          <w:bCs/>
          <w:lang w:val="en-PH"/>
        </w:rPr>
      </w:pPr>
      <w:r w:rsidRPr="009F53CF">
        <w:rPr>
          <w:rFonts w:eastAsia="Times New Roman"/>
          <w:bCs/>
          <w:lang w:val="en-PH"/>
        </w:rPr>
        <w:t>The proposal was published in the Federal Register on 29 May 2025 (90 FR 22778), under File No. SR-CboeBZX-2025-069. The Commission has not received any public comments to date. Stakeholders can continue to submit comments through the official US SEC portal referencing the same file number.</w:t>
      </w:r>
    </w:p>
    <w:p w14:paraId="06B44E30" w14:textId="77777777" w:rsidR="009F53CF" w:rsidRPr="009F53CF" w:rsidRDefault="009F53CF" w:rsidP="009F53CF">
      <w:pPr>
        <w:jc w:val="both"/>
        <w:rPr>
          <w:rFonts w:eastAsia="Times New Roman"/>
          <w:bCs/>
          <w:lang w:val="en-PH"/>
        </w:rPr>
      </w:pPr>
      <w:r w:rsidRPr="009F53CF">
        <w:rPr>
          <w:rFonts w:eastAsia="Times New Roman"/>
          <w:bCs/>
          <w:lang w:val="en-PH"/>
        </w:rPr>
        <w:t>The next date for this application is 27 August 2025, by which date the US SEC must either approve, disapprove, or initiate proceedings to consider the listing.</w:t>
      </w:r>
    </w:p>
    <w:p w14:paraId="4E282BA1" w14:textId="77777777" w:rsidR="009F53CF" w:rsidRPr="009F53CF" w:rsidRDefault="009F53CF" w:rsidP="009F53CF">
      <w:pPr>
        <w:jc w:val="both"/>
        <w:rPr>
          <w:rFonts w:eastAsia="Times New Roman"/>
          <w:bCs/>
          <w:lang w:val="en-PH"/>
        </w:rPr>
      </w:pPr>
      <w:r w:rsidRPr="009F53CF">
        <w:rPr>
          <w:rFonts w:eastAsia="Times New Roman"/>
          <w:bCs/>
          <w:lang w:val="en-PH"/>
        </w:rPr>
        <w:t>(Source: </w:t>
      </w:r>
      <w:hyperlink r:id="rId23" w:tgtFrame="_blank" w:history="1">
        <w:r w:rsidRPr="009F53CF">
          <w:rPr>
            <w:rStyle w:val="Hyperlink"/>
            <w:rFonts w:eastAsia="Times New Roman"/>
            <w:bCs/>
            <w:color w:val="FF6E00"/>
            <w:lang w:val="en-PH"/>
          </w:rPr>
          <w:t>https://www.sec.gov/files/rules/sro/cboebzx/2025/34-103405.pdf</w:t>
        </w:r>
      </w:hyperlink>
      <w:r w:rsidRPr="009F53CF">
        <w:rPr>
          <w:rFonts w:eastAsia="Times New Roman"/>
          <w:bCs/>
          <w:lang w:val="en-PH"/>
        </w:rPr>
        <w:t>)</w:t>
      </w:r>
    </w:p>
    <w:p w14:paraId="6603CA2A" w14:textId="77777777" w:rsidR="00E12430" w:rsidRDefault="00E12430" w:rsidP="006B4E27">
      <w:pPr>
        <w:jc w:val="both"/>
        <w:rPr>
          <w:rFonts w:eastAsia="Times New Roman"/>
          <w:bCs/>
          <w:lang w:val="en-PH"/>
        </w:rPr>
      </w:pPr>
    </w:p>
    <w:p w14:paraId="65FAE775" w14:textId="77777777" w:rsidR="009F53CF" w:rsidRPr="009F53CF" w:rsidRDefault="009F53CF" w:rsidP="009F53CF">
      <w:pPr>
        <w:jc w:val="both"/>
        <w:rPr>
          <w:b/>
          <w:bCs/>
          <w:color w:val="FF6E00"/>
          <w:lang w:val="en-PH"/>
        </w:rPr>
      </w:pPr>
      <w:r w:rsidRPr="009F53CF">
        <w:rPr>
          <w:b/>
          <w:bCs/>
          <w:color w:val="FF6E00"/>
          <w:lang w:val="en-PH"/>
        </w:rPr>
        <w:t>US SEC Reviews Nasdaq Proposal to Permit In-Kind Creations and Redemptions for iShares Bitcoin Trust</w:t>
      </w:r>
    </w:p>
    <w:p w14:paraId="6F824808" w14:textId="77777777" w:rsidR="009F53CF" w:rsidRPr="009F53CF" w:rsidRDefault="009F53CF" w:rsidP="009F53CF">
      <w:pPr>
        <w:jc w:val="both"/>
        <w:rPr>
          <w:rFonts w:eastAsia="Times New Roman"/>
          <w:bCs/>
          <w:lang w:val="en-PH"/>
        </w:rPr>
      </w:pPr>
      <w:r w:rsidRPr="009F53CF">
        <w:rPr>
          <w:rFonts w:eastAsia="Times New Roman"/>
          <w:bCs/>
          <w:lang w:val="en-PH"/>
        </w:rPr>
        <w:t>On 9 July 2025, the United States Securities and Exchange Commission (</w:t>
      </w:r>
      <w:r w:rsidRPr="009F53CF">
        <w:rPr>
          <w:rFonts w:eastAsia="Times New Roman"/>
          <w:b/>
          <w:bCs/>
          <w:lang w:val="en-PH"/>
        </w:rPr>
        <w:t>US SEC</w:t>
      </w:r>
      <w:r w:rsidRPr="009F53CF">
        <w:rPr>
          <w:rFonts w:eastAsia="Times New Roman"/>
          <w:bCs/>
          <w:lang w:val="en-PH"/>
        </w:rPr>
        <w:t>) publishes a </w:t>
      </w:r>
      <w:hyperlink r:id="rId24" w:tgtFrame="_blank" w:history="1">
        <w:r w:rsidRPr="009F53CF">
          <w:rPr>
            <w:rStyle w:val="Hyperlink"/>
            <w:rFonts w:eastAsia="Times New Roman"/>
            <w:bCs/>
            <w:color w:val="FF6E00"/>
            <w:u w:val="none"/>
            <w:lang w:val="en-PH"/>
          </w:rPr>
          <w:t>Notice of Filing of a Proposed Rule Change, as Modified by Amendment No. 2</w:t>
        </w:r>
      </w:hyperlink>
      <w:r w:rsidRPr="009F53CF">
        <w:rPr>
          <w:rFonts w:eastAsia="Times New Roman"/>
          <w:bCs/>
          <w:lang w:val="en-PH"/>
        </w:rPr>
        <w:t>, as Modified by Amendment No. 2, to Amend the Rules Governing the Listing and Trading of the iShares Bitcoin Trust to Permit In-Kind Creations and Redemptions [Release No. 34-103406; File No. SR-NASDAQ-2025-008], by The Nasdaq Stock Market LLC. The proposal seeks to amend the operational mechanics of the iShares Bitcoin Trust to allow for in-kind creations and redemptions of shares, in addition to the currently permitted cash-based process.</w:t>
      </w:r>
    </w:p>
    <w:p w14:paraId="74123B30" w14:textId="77777777" w:rsidR="009F53CF" w:rsidRPr="009F53CF" w:rsidRDefault="009F53CF" w:rsidP="009F53CF">
      <w:pPr>
        <w:jc w:val="both"/>
        <w:rPr>
          <w:rFonts w:eastAsia="Times New Roman"/>
          <w:bCs/>
          <w:lang w:val="en-PH"/>
        </w:rPr>
      </w:pPr>
      <w:r w:rsidRPr="009F53CF">
        <w:rPr>
          <w:rFonts w:eastAsia="Times New Roman"/>
          <w:bCs/>
          <w:lang w:val="en-PH"/>
        </w:rPr>
        <w:t>The Nasdaq Stock Market LLC filed the original proposed rule change on 24 January 2025 pursuant to Section 19(b)(1) of the United States </w:t>
      </w:r>
      <w:hyperlink r:id="rId25" w:tgtFrame="_blank" w:history="1">
        <w:r w:rsidRPr="009F53CF">
          <w:rPr>
            <w:rStyle w:val="Hyperlink"/>
            <w:rFonts w:eastAsia="Times New Roman"/>
            <w:bCs/>
            <w:color w:val="FF6E00"/>
            <w:u w:val="none"/>
            <w:lang w:val="en-PH"/>
          </w:rPr>
          <w:t>Securities Exchange Act of 1934</w:t>
        </w:r>
      </w:hyperlink>
      <w:r w:rsidRPr="009F53CF">
        <w:rPr>
          <w:rFonts w:eastAsia="Times New Roman"/>
          <w:bCs/>
          <w:lang w:val="en-PH"/>
        </w:rPr>
        <w:t> and </w:t>
      </w:r>
      <w:hyperlink r:id="rId26" w:tgtFrame="_blank" w:history="1">
        <w:r w:rsidRPr="009F53CF">
          <w:rPr>
            <w:rStyle w:val="Hyperlink"/>
            <w:rFonts w:eastAsia="Times New Roman"/>
            <w:bCs/>
            <w:color w:val="FF6E00"/>
            <w:u w:val="none"/>
            <w:lang w:val="en-PH"/>
          </w:rPr>
          <w:t>Rule 19b-4</w:t>
        </w:r>
      </w:hyperlink>
      <w:r w:rsidRPr="009F53CF">
        <w:rPr>
          <w:rFonts w:eastAsia="Times New Roman"/>
          <w:bCs/>
          <w:lang w:val="en-PH"/>
        </w:rPr>
        <w:t> thereunder. On 4 February 2025, Nasdaq submitted Amendment No. 1, which replaced and superseded the initial filing in its entirety. The proposal was published for comment in the Federal Register on 12 February 2025 (90 FR 9446). On 13 May 2025, the US SEC instituted proceedings under Section 19(b)(2)(B) to determine whether to approve or disapprove the rule change. Subsequently, on 1 July 2025, Nasdaq submitted Amendment No. 2, which replaced and superseded Amendment No. 1 and the original filing in full. On 9 July 2025, the Commission issued the current notice to solicit public comment on the proposed rule change, as modified by Amendment No. 2.</w:t>
      </w:r>
    </w:p>
    <w:p w14:paraId="7A758A02" w14:textId="77777777" w:rsidR="009F53CF" w:rsidRPr="009F53CF" w:rsidRDefault="009F53CF" w:rsidP="009F53CF">
      <w:pPr>
        <w:jc w:val="both"/>
        <w:rPr>
          <w:rFonts w:eastAsia="Times New Roman"/>
          <w:bCs/>
          <w:lang w:val="en-PH"/>
        </w:rPr>
      </w:pPr>
      <w:r w:rsidRPr="009F53CF">
        <w:rPr>
          <w:rFonts w:eastAsia="Times New Roman"/>
          <w:bCs/>
          <w:u w:val="single"/>
          <w:lang w:val="en-PH"/>
        </w:rPr>
        <w:t>Proposed Amendments Under Amendment No. 2</w:t>
      </w:r>
    </w:p>
    <w:p w14:paraId="0A3C6C63" w14:textId="77777777" w:rsidR="009F53CF" w:rsidRPr="009F53CF" w:rsidRDefault="009F53CF" w:rsidP="009F53CF">
      <w:pPr>
        <w:jc w:val="both"/>
        <w:rPr>
          <w:rFonts w:eastAsia="Times New Roman"/>
          <w:bCs/>
          <w:lang w:val="en-PH"/>
        </w:rPr>
      </w:pPr>
      <w:r w:rsidRPr="009F53CF">
        <w:rPr>
          <w:rFonts w:eastAsia="Times New Roman"/>
          <w:bCs/>
          <w:lang w:val="en-PH"/>
        </w:rPr>
        <w:t>The Nasdaq Stock Market LLC proposes to update certain representations relating to the creation and redemption of shares of the iShares Bitcoin Trust. Specifically, the proposal would permit the Trust to allow for “in-kind” transfers of bitcoin, thereby enabling authorised participants to deliver or receive bitcoin directly, rather than transact in cash.</w:t>
      </w:r>
    </w:p>
    <w:p w14:paraId="4B16B69B" w14:textId="77777777" w:rsidR="009F53CF" w:rsidRPr="009F53CF" w:rsidRDefault="009F53CF" w:rsidP="009F53CF">
      <w:pPr>
        <w:jc w:val="both"/>
        <w:rPr>
          <w:rFonts w:eastAsia="Times New Roman"/>
          <w:bCs/>
          <w:lang w:val="en-PH"/>
        </w:rPr>
      </w:pPr>
      <w:r w:rsidRPr="009F53CF">
        <w:rPr>
          <w:rFonts w:eastAsia="Times New Roman"/>
          <w:bCs/>
          <w:lang w:val="en-PH"/>
        </w:rPr>
        <w:lastRenderedPageBreak/>
        <w:t>Shares of the iShares Bitcoin Trust are currently listed and traded on Nasdaq under Rule 5711(d), which governs Commodity-Based Trust Shares. The Trust is sponsored by iShares Delaware Trust Sponsor LLC, a Delaware limited liability company and an indirect subsidiary of BlackRock, Inc. Coinbase Custody Trust Company, LLC serves as the bitcoin custodian for the Trust, while Coinbase, Inc. is the Prime Execution Agent. The Bank of New York Mellon acts as custodian for the Trust’s cash holdings and serves as its administrator.</w:t>
      </w:r>
    </w:p>
    <w:p w14:paraId="41682B54" w14:textId="77777777" w:rsidR="009F53CF" w:rsidRPr="009F53CF" w:rsidRDefault="009F53CF" w:rsidP="009F53CF">
      <w:pPr>
        <w:jc w:val="both"/>
        <w:rPr>
          <w:rFonts w:eastAsia="Times New Roman"/>
          <w:bCs/>
          <w:lang w:val="en-PH"/>
        </w:rPr>
      </w:pPr>
      <w:r w:rsidRPr="009F53CF">
        <w:rPr>
          <w:rFonts w:eastAsia="Times New Roman"/>
          <w:bCs/>
          <w:lang w:val="en-PH"/>
        </w:rPr>
        <w:t>Under the amended framework, bitcoin will be held by the Bitcoin Custodian in a cold storage Custody Account. Temporary holdings related to transaction activity may be maintained in a Trading Account managed by the Prime Execution Agent. The Trust’s bitcoin held in the Custody Account will be stored offline, with private keys generated and retained in “cold storage” for enhanced security.</w:t>
      </w:r>
    </w:p>
    <w:p w14:paraId="5453193F" w14:textId="77777777" w:rsidR="009F53CF" w:rsidRPr="009F53CF" w:rsidRDefault="009F53CF" w:rsidP="009F53CF">
      <w:pPr>
        <w:jc w:val="both"/>
        <w:rPr>
          <w:rFonts w:eastAsia="Times New Roman"/>
          <w:bCs/>
          <w:lang w:val="en-PH"/>
        </w:rPr>
      </w:pPr>
      <w:r w:rsidRPr="009F53CF">
        <w:rPr>
          <w:rFonts w:eastAsia="Times New Roman"/>
          <w:bCs/>
          <w:lang w:val="en-PH"/>
        </w:rPr>
        <w:t>The proposal establishes distinct order cut-off times:</w:t>
      </w:r>
    </w:p>
    <w:p w14:paraId="12FC56AA" w14:textId="77777777" w:rsidR="009F53CF" w:rsidRPr="009F53CF" w:rsidRDefault="009F53CF" w:rsidP="009F53CF">
      <w:pPr>
        <w:numPr>
          <w:ilvl w:val="0"/>
          <w:numId w:val="108"/>
        </w:numPr>
        <w:jc w:val="both"/>
        <w:rPr>
          <w:rFonts w:eastAsia="Times New Roman"/>
          <w:bCs/>
          <w:lang w:val="en-PH"/>
        </w:rPr>
      </w:pPr>
      <w:r w:rsidRPr="009F53CF">
        <w:rPr>
          <w:rFonts w:eastAsia="Times New Roman"/>
          <w:bCs/>
          <w:lang w:val="en-PH"/>
        </w:rPr>
        <w:t>For cash orders, the cut-off time will be 6:00 p.m. ET on the business day before trade date.</w:t>
      </w:r>
    </w:p>
    <w:p w14:paraId="759563E3" w14:textId="77777777" w:rsidR="009F53CF" w:rsidRPr="009F53CF" w:rsidRDefault="009F53CF" w:rsidP="009F53CF">
      <w:pPr>
        <w:numPr>
          <w:ilvl w:val="0"/>
          <w:numId w:val="108"/>
        </w:numPr>
        <w:jc w:val="both"/>
        <w:rPr>
          <w:rFonts w:eastAsia="Times New Roman"/>
          <w:bCs/>
          <w:lang w:val="en-PH"/>
        </w:rPr>
      </w:pPr>
      <w:r w:rsidRPr="009F53CF">
        <w:rPr>
          <w:rFonts w:eastAsia="Times New Roman"/>
          <w:bCs/>
          <w:lang w:val="en-PH"/>
        </w:rPr>
        <w:t>For in-kind orders, the cut-off time will be 3:59 p.m. ET on the trade date.</w:t>
      </w:r>
    </w:p>
    <w:p w14:paraId="7F25FB24" w14:textId="77777777" w:rsidR="009F53CF" w:rsidRPr="009F53CF" w:rsidRDefault="009F53CF" w:rsidP="009F53CF">
      <w:pPr>
        <w:jc w:val="both"/>
        <w:rPr>
          <w:rFonts w:eastAsia="Times New Roman"/>
          <w:bCs/>
          <w:lang w:val="en-PH"/>
        </w:rPr>
      </w:pPr>
      <w:r w:rsidRPr="009F53CF">
        <w:rPr>
          <w:rFonts w:eastAsia="Times New Roman"/>
          <w:bCs/>
          <w:lang w:val="en-PH"/>
        </w:rPr>
        <w:t>In an in-kind creation, the authorised participant or its agent deposits bitcoin into the Trust’s Trading Account in exchange for Trust shares. In an in-kind redemption, the Trust delivers bitcoin from its Trading Account to the authorised participant or its agent in exchange for shares.</w:t>
      </w:r>
    </w:p>
    <w:p w14:paraId="6F2081B2" w14:textId="77777777" w:rsidR="009F53CF" w:rsidRPr="009F53CF" w:rsidRDefault="009F53CF" w:rsidP="009F53CF">
      <w:pPr>
        <w:jc w:val="both"/>
        <w:rPr>
          <w:rFonts w:eastAsia="Times New Roman"/>
          <w:bCs/>
          <w:lang w:val="en-PH"/>
        </w:rPr>
      </w:pPr>
      <w:r w:rsidRPr="009F53CF">
        <w:rPr>
          <w:rFonts w:eastAsia="Times New Roman"/>
          <w:bCs/>
          <w:lang w:val="en-PH"/>
        </w:rPr>
        <w:t>If the authorised participant fails to deliver bitcoin on settlement date for a creation, it may:</w:t>
      </w:r>
    </w:p>
    <w:p w14:paraId="4D1C7FFA" w14:textId="77777777" w:rsidR="009F53CF" w:rsidRPr="009F53CF" w:rsidRDefault="009F53CF" w:rsidP="009F53CF">
      <w:pPr>
        <w:numPr>
          <w:ilvl w:val="0"/>
          <w:numId w:val="109"/>
        </w:numPr>
        <w:jc w:val="both"/>
        <w:rPr>
          <w:rFonts w:eastAsia="Times New Roman"/>
          <w:bCs/>
          <w:lang w:val="en-PH"/>
        </w:rPr>
      </w:pPr>
      <w:r w:rsidRPr="009F53CF">
        <w:rPr>
          <w:rFonts w:eastAsia="Times New Roman"/>
          <w:bCs/>
          <w:lang w:val="en-PH"/>
        </w:rPr>
        <w:t>Cancel the order,</w:t>
      </w:r>
    </w:p>
    <w:p w14:paraId="59666C77" w14:textId="77777777" w:rsidR="009F53CF" w:rsidRPr="009F53CF" w:rsidRDefault="009F53CF" w:rsidP="009F53CF">
      <w:pPr>
        <w:numPr>
          <w:ilvl w:val="0"/>
          <w:numId w:val="109"/>
        </w:numPr>
        <w:jc w:val="both"/>
        <w:rPr>
          <w:rFonts w:eastAsia="Times New Roman"/>
          <w:bCs/>
          <w:lang w:val="en-PH"/>
        </w:rPr>
      </w:pPr>
      <w:r w:rsidRPr="009F53CF">
        <w:rPr>
          <w:rFonts w:eastAsia="Times New Roman"/>
          <w:bCs/>
          <w:lang w:val="en-PH"/>
        </w:rPr>
        <w:t>Delay settlement, or</w:t>
      </w:r>
    </w:p>
    <w:p w14:paraId="495BF87B" w14:textId="77777777" w:rsidR="009F53CF" w:rsidRPr="009F53CF" w:rsidRDefault="009F53CF" w:rsidP="009F53CF">
      <w:pPr>
        <w:numPr>
          <w:ilvl w:val="0"/>
          <w:numId w:val="109"/>
        </w:numPr>
        <w:jc w:val="both"/>
        <w:rPr>
          <w:rFonts w:eastAsia="Times New Roman"/>
          <w:bCs/>
          <w:lang w:val="en-PH"/>
        </w:rPr>
      </w:pPr>
      <w:r w:rsidRPr="009F53CF">
        <w:rPr>
          <w:rFonts w:eastAsia="Times New Roman"/>
          <w:bCs/>
          <w:lang w:val="en-PH"/>
        </w:rPr>
        <w:t>Instruct the Trust to execute a bitcoin purchase, in which case the participant delivers cash and absorbs the cost differential between the NAV-calculated price and the market execution price, if higher.</w:t>
      </w:r>
    </w:p>
    <w:p w14:paraId="68586C0F" w14:textId="77777777" w:rsidR="009F53CF" w:rsidRPr="009F53CF" w:rsidRDefault="009F53CF" w:rsidP="009F53CF">
      <w:pPr>
        <w:jc w:val="both"/>
        <w:rPr>
          <w:rFonts w:eastAsia="Times New Roman"/>
          <w:bCs/>
          <w:lang w:val="en-PH"/>
        </w:rPr>
      </w:pPr>
      <w:r w:rsidRPr="009F53CF">
        <w:rPr>
          <w:rFonts w:eastAsia="Times New Roman"/>
          <w:bCs/>
          <w:lang w:val="en-PH"/>
        </w:rPr>
        <w:t>In a cash-based transaction, the Trust executes a corresponding bitcoin purchase or sale through a Bitcoin Trading Counterparty or via the Prime Execution Agent’s Coinbase Prime service. The Trust may also utilise trade credit facilities provided by Coinbase Credit, Inc., an affiliate of the Prime Execution Agent, allowing it to obtain bitcoin or cash on trade date pending full settlement.</w:t>
      </w:r>
    </w:p>
    <w:p w14:paraId="23367270" w14:textId="77777777" w:rsidR="009F53CF" w:rsidRPr="009F53CF" w:rsidRDefault="009F53CF" w:rsidP="009F53CF">
      <w:pPr>
        <w:jc w:val="both"/>
        <w:rPr>
          <w:rFonts w:eastAsia="Times New Roman"/>
          <w:bCs/>
          <w:lang w:val="en-PH"/>
        </w:rPr>
      </w:pPr>
      <w:r w:rsidRPr="009F53CF">
        <w:rPr>
          <w:rFonts w:eastAsia="Times New Roman"/>
          <w:bCs/>
          <w:lang w:val="en-PH"/>
        </w:rPr>
        <w:t>The amendment proposes to replace existing rule text stating that Baskets are issued or redeemed “only in exchange for an amount of cash” with revised language stating that issuance or redemption may be “in exchange for an amount of bitcoin and/or cash.” This aligns the rulebook with the operational amendments proposed in the filing.</w:t>
      </w:r>
    </w:p>
    <w:p w14:paraId="7AD0F73E" w14:textId="77777777" w:rsidR="009F53CF" w:rsidRPr="009F53CF" w:rsidRDefault="009F53CF" w:rsidP="009F53CF">
      <w:pPr>
        <w:jc w:val="both"/>
        <w:rPr>
          <w:rFonts w:eastAsia="Times New Roman"/>
          <w:bCs/>
          <w:lang w:val="en-PH"/>
        </w:rPr>
      </w:pPr>
      <w:r w:rsidRPr="009F53CF">
        <w:rPr>
          <w:rFonts w:eastAsia="Times New Roman"/>
          <w:bCs/>
          <w:lang w:val="en-PH"/>
        </w:rPr>
        <w:t>Nasdaq states that the proposal is consistent with Section 6(b) and furthers the objectives of Section 6(b)(5) of the United States Securities Exchange Act by promoting just and equitable principles of trade, removing impediments to a free and open market, and protecting investors. According to the Exchange, enabling in-kind creation and redemption will increase operational efficiency by allowing authorised participants to source or deliver bitcoin directly. This change may reduce market impact from the Trust’s trading activities and lead to cost efficiencies that benefit end investors.</w:t>
      </w:r>
    </w:p>
    <w:p w14:paraId="3DAA0D72" w14:textId="77777777" w:rsidR="009F53CF" w:rsidRPr="009F53CF" w:rsidRDefault="009F53CF" w:rsidP="009F53CF">
      <w:pPr>
        <w:jc w:val="both"/>
        <w:rPr>
          <w:rFonts w:eastAsia="Times New Roman"/>
          <w:bCs/>
          <w:lang w:val="en-PH"/>
        </w:rPr>
      </w:pPr>
      <w:r w:rsidRPr="009F53CF">
        <w:rPr>
          <w:rFonts w:eastAsia="Times New Roman"/>
          <w:bCs/>
          <w:lang w:val="en-PH"/>
        </w:rPr>
        <w:t>The US SEC is soliciting public comments on the proposal. Comments may be submitted via the Commission’s internet comment form or by email to </w:t>
      </w:r>
      <w:hyperlink r:id="rId27" w:history="1">
        <w:r w:rsidRPr="009F53CF">
          <w:rPr>
            <w:rStyle w:val="Hyperlink"/>
            <w:rFonts w:eastAsia="Times New Roman"/>
            <w:bCs/>
            <w:color w:val="FF6E00"/>
            <w:u w:val="none"/>
            <w:lang w:val="en-PH"/>
          </w:rPr>
          <w:t>rule-comments@sec.gov</w:t>
        </w:r>
      </w:hyperlink>
      <w:r w:rsidRPr="009F53CF">
        <w:rPr>
          <w:rFonts w:eastAsia="Times New Roman"/>
          <w:bCs/>
          <w:lang w:val="en-PH"/>
        </w:rPr>
        <w:t>, with File No. SR-NASDAQ-</w:t>
      </w:r>
      <w:r w:rsidRPr="009F53CF">
        <w:rPr>
          <w:rFonts w:eastAsia="Times New Roman"/>
          <w:bCs/>
          <w:lang w:val="en-PH"/>
        </w:rPr>
        <w:lastRenderedPageBreak/>
        <w:t>2025-008 in the subject line. Submissions must be received within 21 days of publication in the Federal Register.</w:t>
      </w:r>
    </w:p>
    <w:p w14:paraId="3FD29512" w14:textId="77777777" w:rsidR="009F53CF" w:rsidRPr="009F53CF" w:rsidRDefault="009F53CF" w:rsidP="009F53CF">
      <w:pPr>
        <w:jc w:val="both"/>
        <w:rPr>
          <w:rFonts w:eastAsia="Times New Roman"/>
          <w:bCs/>
          <w:lang w:val="en-PH"/>
        </w:rPr>
      </w:pPr>
      <w:r w:rsidRPr="009F53CF">
        <w:rPr>
          <w:rFonts w:eastAsia="Times New Roman"/>
          <w:bCs/>
          <w:lang w:val="en-PH"/>
        </w:rPr>
        <w:t>(Source: </w:t>
      </w:r>
      <w:hyperlink r:id="rId28" w:tgtFrame="_blank" w:history="1">
        <w:r w:rsidRPr="009F53CF">
          <w:rPr>
            <w:rStyle w:val="Hyperlink"/>
            <w:rFonts w:eastAsia="Times New Roman"/>
            <w:bCs/>
            <w:color w:val="FF6E00"/>
            <w:lang w:val="en-PH"/>
          </w:rPr>
          <w:t>https://www.sec.gov/files/rules/sro/nasdaq/2025/34-103406.pdf</w:t>
        </w:r>
      </w:hyperlink>
      <w:r w:rsidRPr="009F53CF">
        <w:rPr>
          <w:rFonts w:eastAsia="Times New Roman"/>
          <w:bCs/>
          <w:lang w:val="en-PH"/>
        </w:rPr>
        <w:t>)</w:t>
      </w:r>
    </w:p>
    <w:p w14:paraId="366F8321" w14:textId="77777777" w:rsidR="00E12430" w:rsidRDefault="00E12430" w:rsidP="006B4E27">
      <w:pPr>
        <w:jc w:val="both"/>
        <w:rPr>
          <w:rFonts w:eastAsia="Times New Roman"/>
          <w:bCs/>
          <w:lang w:val="en-PH"/>
        </w:rPr>
      </w:pPr>
    </w:p>
    <w:p w14:paraId="70B3BF42" w14:textId="77777777" w:rsidR="00AE4BC7" w:rsidRPr="00AE4BC7" w:rsidRDefault="00AE4BC7" w:rsidP="00AE4BC7">
      <w:pPr>
        <w:jc w:val="both"/>
        <w:rPr>
          <w:b/>
          <w:bCs/>
          <w:color w:val="FF6E00"/>
          <w:lang w:val="en-PH"/>
        </w:rPr>
      </w:pPr>
      <w:r w:rsidRPr="00AE4BC7">
        <w:rPr>
          <w:b/>
          <w:bCs/>
          <w:color w:val="FF6E00"/>
          <w:lang w:val="en-PH"/>
        </w:rPr>
        <w:t>US SEC Commissioner Hester M. Peirce Issues Statement: “Enchanting, but Not Magical: A Statement on the Tokenisation of Securities” Stresses Legal Compliance for Tokenised Assets</w:t>
      </w:r>
    </w:p>
    <w:p w14:paraId="02AD5F36" w14:textId="7B92E3B2" w:rsidR="00AE4BC7" w:rsidRPr="00AE4BC7" w:rsidRDefault="00AE4BC7" w:rsidP="00AE4BC7">
      <w:pPr>
        <w:jc w:val="both"/>
        <w:rPr>
          <w:rFonts w:eastAsia="Times New Roman"/>
          <w:bCs/>
          <w:lang w:val="en-PH"/>
        </w:rPr>
      </w:pPr>
      <w:r w:rsidRPr="00AE4BC7">
        <w:rPr>
          <w:rFonts w:eastAsia="Times New Roman"/>
          <w:bCs/>
          <w:lang w:val="en-PH"/>
        </w:rPr>
        <w:t>On 9 July 2025, US SEC Commissioner Hester M. Peirce published a statement titled “</w:t>
      </w:r>
      <w:hyperlink r:id="rId29" w:tgtFrame="_blank" w:history="1">
        <w:r w:rsidRPr="00AE4BC7">
          <w:rPr>
            <w:rStyle w:val="Hyperlink"/>
            <w:rFonts w:eastAsia="Times New Roman"/>
            <w:bCs/>
            <w:color w:val="FF6E00"/>
            <w:u w:val="none"/>
            <w:lang w:val="en-PH"/>
          </w:rPr>
          <w:t>Enchanting, but Not Magical: A Statement on the Tokenisation of Securities</w:t>
        </w:r>
      </w:hyperlink>
      <w:r w:rsidRPr="00AE4BC7">
        <w:rPr>
          <w:rFonts w:eastAsia="Times New Roman"/>
          <w:bCs/>
          <w:lang w:val="en-PH"/>
        </w:rPr>
        <w:t>,</w:t>
      </w:r>
      <w:r w:rsidR="003538B9" w:rsidRPr="003538B9">
        <w:rPr>
          <w:rFonts w:eastAsia="Times New Roman"/>
          <w:bCs/>
          <w:lang w:val="en-PH"/>
        </w:rPr>
        <w:t xml:space="preserve"> </w:t>
      </w:r>
      <w:r w:rsidR="003538B9" w:rsidRPr="00AE4BC7">
        <w:rPr>
          <w:rFonts w:eastAsia="Times New Roman"/>
          <w:bCs/>
          <w:lang w:val="en-PH"/>
        </w:rPr>
        <w:t>”</w:t>
      </w:r>
      <w:r w:rsidRPr="00AE4BC7">
        <w:rPr>
          <w:rFonts w:eastAsia="Times New Roman"/>
          <w:bCs/>
          <w:lang w:val="en-PH"/>
        </w:rPr>
        <w:t xml:space="preserve"> where she discussed the increasing adoption of blockchain technology for the tokenisation of securities. Commissioner Peirce stated that, despite the innovative potential of tokenisation to facilitate capital formation and enhance asset utility, tokenised securities remain subject to existing US federal securities laws. She warned that blockchain technology does not change the legal nature of the underlying asset; therefore, all market participants, including both new entrants and established firms, must adhere to US SEC regulations when issuing, distributing, or trading tokenised securities.</w:t>
      </w:r>
    </w:p>
    <w:p w14:paraId="502A4AB8" w14:textId="77777777" w:rsidR="00AE4BC7" w:rsidRPr="00AE4BC7" w:rsidRDefault="00AE4BC7" w:rsidP="00AE4BC7">
      <w:pPr>
        <w:jc w:val="both"/>
        <w:rPr>
          <w:rFonts w:eastAsia="Times New Roman"/>
          <w:bCs/>
          <w:lang w:val="en-PH"/>
        </w:rPr>
      </w:pPr>
      <w:r w:rsidRPr="00AE4BC7">
        <w:rPr>
          <w:rFonts w:eastAsia="Times New Roman"/>
          <w:bCs/>
          <w:lang w:val="en-PH"/>
        </w:rPr>
        <w:t>Commissioner Peirce also pointed out the unique risks associated with third-party tokenisation, such as counterparty risks, and reminded distributors of their disclosure obligations under US SEC rules. She encouraged market participants to engage with the US SEC to ensure compliance and to discuss potential updates to regulatory frameworks where technological advancements may warrant change. The US SEC reaffirmed its readiness to collaborate with industry stakeholders to modernise rules and craft appropriate exemptions as needed.</w:t>
      </w:r>
    </w:p>
    <w:p w14:paraId="01816637" w14:textId="77777777" w:rsidR="00AE4BC7" w:rsidRPr="00AE4BC7" w:rsidRDefault="00AE4BC7" w:rsidP="00AE4BC7">
      <w:pPr>
        <w:jc w:val="both"/>
        <w:rPr>
          <w:rFonts w:eastAsia="Times New Roman"/>
          <w:bCs/>
          <w:lang w:val="en-PH"/>
        </w:rPr>
      </w:pPr>
      <w:r w:rsidRPr="00AE4BC7">
        <w:rPr>
          <w:rFonts w:eastAsia="Times New Roman"/>
          <w:bCs/>
          <w:lang w:val="en-PH"/>
        </w:rPr>
        <w:t>Securities Classification of Tokenized securities, whether issued by the original issuer (e.g., tokenized company shares) or by third parties tied to custodied assets, remain securities under US federal law. Peirce noted that tokenization does not alter the legal nature of the underlying asset, and compliance with securities regulations is mandatory.</w:t>
      </w:r>
    </w:p>
    <w:p w14:paraId="5C3B0FA4" w14:textId="55FBA902" w:rsidR="00AE4BC7" w:rsidRPr="00AE4BC7" w:rsidRDefault="00AE4BC7" w:rsidP="00AE4BC7">
      <w:pPr>
        <w:jc w:val="both"/>
        <w:rPr>
          <w:rFonts w:eastAsia="Times New Roman"/>
          <w:bCs/>
          <w:lang w:val="en-PH"/>
        </w:rPr>
      </w:pPr>
      <w:r w:rsidRPr="00AE4BC7">
        <w:rPr>
          <w:rFonts w:eastAsia="Times New Roman"/>
          <w:bCs/>
          <w:lang w:val="en-PH"/>
        </w:rPr>
        <w:t>Disclosure Obligations on Distributors of tokenized securities must adhere to disclosure requirements outlined in the federal securities laws. The SEC’s Division of Corporation Finance issued a related staff statement on April 10, 2025, titled “</w:t>
      </w:r>
      <w:hyperlink r:id="rId30" w:tgtFrame="_blank" w:history="1">
        <w:r w:rsidRPr="00AE4BC7">
          <w:rPr>
            <w:rStyle w:val="Hyperlink"/>
            <w:rFonts w:eastAsia="Times New Roman"/>
            <w:bCs/>
            <w:color w:val="FF6E00"/>
            <w:u w:val="none"/>
            <w:lang w:val="en-PH"/>
          </w:rPr>
          <w:t>Offerings and Registrations of Securities in the Crypto Asset Markets</w:t>
        </w:r>
      </w:hyperlink>
      <w:r w:rsidR="00A012BD">
        <w:rPr>
          <w:rFonts w:eastAsia="Times New Roman"/>
          <w:bCs/>
          <w:lang w:val="en-PH"/>
        </w:rPr>
        <w:t>.</w:t>
      </w:r>
      <w:r w:rsidRPr="00AE4BC7">
        <w:rPr>
          <w:rFonts w:eastAsia="Times New Roman"/>
          <w:bCs/>
          <w:lang w:val="en-PH"/>
        </w:rPr>
        <w:t>”</w:t>
      </w:r>
    </w:p>
    <w:p w14:paraId="60D3E13E" w14:textId="77777777" w:rsidR="00AE4BC7" w:rsidRPr="00AE4BC7" w:rsidRDefault="00AE4BC7" w:rsidP="00AE4BC7">
      <w:pPr>
        <w:jc w:val="both"/>
        <w:rPr>
          <w:rFonts w:eastAsia="Times New Roman"/>
          <w:bCs/>
          <w:lang w:val="en-PH"/>
        </w:rPr>
      </w:pPr>
      <w:r w:rsidRPr="00AE4BC7">
        <w:rPr>
          <w:rFonts w:eastAsia="Times New Roman"/>
          <w:bCs/>
          <w:lang w:val="en-PH"/>
        </w:rPr>
        <w:t>Token Structures and Risks on Tokens which may be classified as “receipts for securities,” constituting distinct securities, or as “security-based swaps,” which cannot be traded off-exchange by retail investors. Third-party tokenization may introduce unique risks, such as counterparty exposure, requiring careful legal consideration.</w:t>
      </w:r>
    </w:p>
    <w:p w14:paraId="3B74E496" w14:textId="77777777" w:rsidR="00AE4BC7" w:rsidRPr="00AE4BC7" w:rsidRDefault="00AE4BC7" w:rsidP="00AE4BC7">
      <w:pPr>
        <w:jc w:val="both"/>
        <w:rPr>
          <w:rFonts w:eastAsia="Times New Roman"/>
          <w:bCs/>
          <w:lang w:val="en-PH"/>
        </w:rPr>
      </w:pPr>
      <w:r w:rsidRPr="00AE4BC7">
        <w:rPr>
          <w:rFonts w:eastAsia="Times New Roman"/>
          <w:bCs/>
          <w:lang w:val="en-PH"/>
        </w:rPr>
        <w:t>(Source: </w:t>
      </w:r>
      <w:hyperlink r:id="rId31" w:tgtFrame="_blank" w:history="1">
        <w:r w:rsidRPr="00AE4BC7">
          <w:rPr>
            <w:rStyle w:val="Hyperlink"/>
            <w:rFonts w:eastAsia="Times New Roman"/>
            <w:bCs/>
            <w:color w:val="FF6E00"/>
            <w:lang w:val="en-PH"/>
          </w:rPr>
          <w:t>https://www.sec.gov/newsroom/speeches-statements/peirce-statement-tokenized-securities-070925</w:t>
        </w:r>
      </w:hyperlink>
      <w:r w:rsidRPr="00AE4BC7">
        <w:rPr>
          <w:rFonts w:eastAsia="Times New Roman"/>
          <w:bCs/>
          <w:lang w:val="en-PH"/>
        </w:rPr>
        <w:t>)</w:t>
      </w:r>
    </w:p>
    <w:p w14:paraId="14297841" w14:textId="77777777" w:rsidR="00E12430" w:rsidRDefault="00E12430" w:rsidP="006B4E27">
      <w:pPr>
        <w:jc w:val="both"/>
        <w:rPr>
          <w:rFonts w:eastAsia="Times New Roman"/>
          <w:bCs/>
          <w:lang w:val="en-PH"/>
        </w:rPr>
      </w:pPr>
    </w:p>
    <w:p w14:paraId="44F2B42C" w14:textId="77777777" w:rsidR="00E12430" w:rsidRDefault="00E12430" w:rsidP="006B4E27">
      <w:pPr>
        <w:jc w:val="both"/>
        <w:rPr>
          <w:rFonts w:eastAsia="Times New Roman"/>
          <w:bCs/>
          <w:lang w:val="en-PH"/>
        </w:rPr>
      </w:pPr>
    </w:p>
    <w:p w14:paraId="6B22EA53" w14:textId="77777777" w:rsidR="00634252" w:rsidRDefault="00634252" w:rsidP="006B4E27">
      <w:pPr>
        <w:jc w:val="both"/>
        <w:rPr>
          <w:rFonts w:eastAsia="Times New Roman"/>
          <w:bCs/>
          <w:lang w:val="en-PH"/>
        </w:rPr>
      </w:pPr>
    </w:p>
    <w:p w14:paraId="60F3840D" w14:textId="77777777" w:rsidR="00144837" w:rsidRDefault="00144837" w:rsidP="006B4E27">
      <w:pPr>
        <w:jc w:val="both"/>
        <w:rPr>
          <w:rFonts w:eastAsia="Times New Roman"/>
          <w:bCs/>
          <w:lang w:val="en-PH"/>
        </w:rPr>
      </w:pPr>
    </w:p>
    <w:p w14:paraId="5C17368D" w14:textId="77777777" w:rsidR="00144837" w:rsidRDefault="00144837" w:rsidP="006B4E27">
      <w:pPr>
        <w:jc w:val="both"/>
        <w:rPr>
          <w:rFonts w:eastAsia="Times New Roman"/>
          <w:bCs/>
          <w:lang w:val="en-PH"/>
        </w:rPr>
      </w:pPr>
    </w:p>
    <w:p w14:paraId="2C36F1E9" w14:textId="77777777" w:rsidR="00013D73" w:rsidRDefault="00013D73" w:rsidP="00C73CCD">
      <w:pPr>
        <w:rPr>
          <w:rFonts w:eastAsia="Times New Roman"/>
          <w:bCs/>
          <w:lang w:val="en-PH"/>
        </w:rPr>
      </w:pPr>
    </w:p>
    <w:p w14:paraId="79947570" w14:textId="77777777" w:rsidR="00292BED" w:rsidRDefault="00292BED" w:rsidP="00C73CCD">
      <w:pPr>
        <w:rPr>
          <w:rFonts w:eastAsia="Times New Roman"/>
          <w:bCs/>
          <w:lang w:val="en-PH"/>
        </w:rPr>
      </w:pPr>
    </w:p>
    <w:p w14:paraId="33E0578A" w14:textId="77777777" w:rsidR="00515B8E" w:rsidRDefault="00515B8E" w:rsidP="00C73CCD">
      <w:pPr>
        <w:rPr>
          <w:rFonts w:eastAsia="Times New Roman"/>
          <w:bCs/>
          <w:lang w:val="en-PH"/>
        </w:rPr>
      </w:pPr>
    </w:p>
    <w:p w14:paraId="31234629" w14:textId="77777777" w:rsidR="00515B8E" w:rsidRDefault="00515B8E" w:rsidP="00C73CCD">
      <w:pPr>
        <w:rPr>
          <w:rFonts w:eastAsia="Times New Roman"/>
          <w:bCs/>
          <w:lang w:val="en-PH"/>
        </w:rPr>
      </w:pPr>
    </w:p>
    <w:p w14:paraId="1B90A091" w14:textId="77777777" w:rsidR="00515B8E" w:rsidRDefault="00515B8E" w:rsidP="00C73CCD">
      <w:pPr>
        <w:rPr>
          <w:rFonts w:eastAsia="Times New Roman"/>
          <w:bCs/>
          <w:lang w:val="en-PH"/>
        </w:rPr>
      </w:pPr>
    </w:p>
    <w:p w14:paraId="604540EE" w14:textId="77777777" w:rsidR="00515B8E" w:rsidRDefault="00515B8E" w:rsidP="00C73CCD">
      <w:pPr>
        <w:rPr>
          <w:rFonts w:eastAsia="Times New Roman"/>
          <w:bCs/>
          <w:lang w:val="en-PH"/>
        </w:rPr>
      </w:pPr>
    </w:p>
    <w:p w14:paraId="27BE5AD3" w14:textId="77777777" w:rsidR="00515B8E" w:rsidRDefault="00515B8E" w:rsidP="00C73CCD">
      <w:pPr>
        <w:rPr>
          <w:rFonts w:eastAsia="Times New Roman"/>
          <w:bCs/>
          <w:lang w:val="en-PH"/>
        </w:rPr>
      </w:pPr>
    </w:p>
    <w:p w14:paraId="753AA9BF" w14:textId="77777777" w:rsidR="00515B8E" w:rsidRDefault="00515B8E" w:rsidP="00C73CCD">
      <w:pPr>
        <w:rPr>
          <w:rFonts w:eastAsia="Times New Roman"/>
          <w:bCs/>
          <w:lang w:val="en-PH"/>
        </w:rPr>
      </w:pPr>
    </w:p>
    <w:p w14:paraId="16D8503B" w14:textId="77777777" w:rsidR="00515B8E" w:rsidRDefault="00515B8E" w:rsidP="00C73CCD">
      <w:pPr>
        <w:rPr>
          <w:rFonts w:eastAsia="Times New Roman"/>
          <w:bCs/>
          <w:lang w:val="en-PH"/>
        </w:rPr>
      </w:pPr>
    </w:p>
    <w:p w14:paraId="77A7CB57" w14:textId="77777777" w:rsidR="00515B8E" w:rsidRDefault="00515B8E" w:rsidP="00C73CCD">
      <w:pPr>
        <w:rPr>
          <w:rFonts w:eastAsia="Times New Roman"/>
          <w:bCs/>
          <w:lang w:val="en-PH"/>
        </w:rPr>
      </w:pPr>
    </w:p>
    <w:p w14:paraId="16CE7ED1" w14:textId="77777777" w:rsidR="00515B8E" w:rsidRDefault="00515B8E" w:rsidP="00C73CCD">
      <w:pPr>
        <w:rPr>
          <w:rFonts w:eastAsia="Times New Roman"/>
          <w:bCs/>
          <w:lang w:val="en-PH"/>
        </w:rPr>
      </w:pPr>
    </w:p>
    <w:p w14:paraId="6DAEF25C" w14:textId="77777777" w:rsidR="00515B8E" w:rsidRDefault="00515B8E" w:rsidP="00C73CCD">
      <w:pPr>
        <w:rPr>
          <w:rFonts w:eastAsia="Times New Roman"/>
          <w:bCs/>
          <w:lang w:val="en-PH"/>
        </w:rPr>
      </w:pPr>
    </w:p>
    <w:p w14:paraId="705EF771" w14:textId="77777777" w:rsidR="00292BED" w:rsidRPr="00AD3CFC" w:rsidRDefault="00292BE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2">
        <w:r w:rsidRPr="00C46FF7">
          <w:rPr>
            <w:rFonts w:ascii="Arial" w:hAnsi="Arial" w:cs="Arial"/>
            <w:sz w:val="22"/>
            <w:szCs w:val="22"/>
            <w:lang w:val="en-GB"/>
          </w:rPr>
          <w:t>unsubscribe@charltonslaw.com</w:t>
        </w:r>
      </w:hyperlink>
    </w:p>
    <w:p w14:paraId="4BFB9E37" w14:textId="09AD8CBC"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CB77CC">
        <w:rPr>
          <w:rFonts w:ascii="Arial" w:hAnsi="Arial" w:cs="Arial"/>
          <w:sz w:val="22"/>
          <w:szCs w:val="22"/>
          <w:lang w:val="en-GB"/>
        </w:rPr>
        <w:t>3</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88406A">
        <w:rPr>
          <w:rFonts w:ascii="Arial" w:eastAsia="Cambria" w:hAnsi="Arial" w:cs="Arial"/>
          <w:sz w:val="22"/>
          <w:szCs w:val="22"/>
          <w:lang w:val="en-GB"/>
        </w:rPr>
        <w:t>July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1CB0" w14:textId="77777777" w:rsidR="009C2052" w:rsidRDefault="009C2052" w:rsidP="009101EB">
      <w:pPr>
        <w:spacing w:after="0" w:line="240" w:lineRule="auto"/>
      </w:pPr>
      <w:r>
        <w:separator/>
      </w:r>
    </w:p>
  </w:endnote>
  <w:endnote w:type="continuationSeparator" w:id="0">
    <w:p w14:paraId="64560C5F" w14:textId="77777777" w:rsidR="009C2052" w:rsidRDefault="009C2052"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8110" w14:textId="77777777" w:rsidR="009C2052" w:rsidRDefault="009C2052" w:rsidP="009101EB">
      <w:pPr>
        <w:spacing w:after="0" w:line="240" w:lineRule="auto"/>
      </w:pPr>
      <w:r>
        <w:separator/>
      </w:r>
    </w:p>
  </w:footnote>
  <w:footnote w:type="continuationSeparator" w:id="0">
    <w:p w14:paraId="0A2A5B4F" w14:textId="77777777" w:rsidR="009C2052" w:rsidRDefault="009C2052"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6B643A"/>
    <w:multiLevelType w:val="hybridMultilevel"/>
    <w:tmpl w:val="8FCCFBEE"/>
    <w:lvl w:ilvl="0" w:tplc="34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DE2A43"/>
    <w:multiLevelType w:val="multilevel"/>
    <w:tmpl w:val="2314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E30E7B"/>
    <w:multiLevelType w:val="hybridMultilevel"/>
    <w:tmpl w:val="BABC539A"/>
    <w:lvl w:ilvl="0" w:tplc="FFFFFFFF">
      <w:start w:val="1"/>
      <w:numFmt w:val="lowerLetter"/>
      <w:lvlText w:val="%1)"/>
      <w:lvlJc w:val="left"/>
      <w:pPr>
        <w:ind w:left="1080" w:hanging="360"/>
      </w:pPr>
    </w:lvl>
    <w:lvl w:ilvl="1" w:tplc="3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CD20D2"/>
    <w:multiLevelType w:val="multilevel"/>
    <w:tmpl w:val="BAE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0C18B8"/>
    <w:multiLevelType w:val="multilevel"/>
    <w:tmpl w:val="17C4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F04596"/>
    <w:multiLevelType w:val="multilevel"/>
    <w:tmpl w:val="86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7640345"/>
    <w:multiLevelType w:val="hybridMultilevel"/>
    <w:tmpl w:val="4F3C41B0"/>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8"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957DB2"/>
    <w:multiLevelType w:val="multilevel"/>
    <w:tmpl w:val="C4D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70"/>
  </w:num>
  <w:num w:numId="3" w16cid:durableId="2074813254">
    <w:abstractNumId w:val="19"/>
  </w:num>
  <w:num w:numId="4" w16cid:durableId="1502967021">
    <w:abstractNumId w:val="1"/>
  </w:num>
  <w:num w:numId="5" w16cid:durableId="942999798">
    <w:abstractNumId w:val="86"/>
  </w:num>
  <w:num w:numId="6" w16cid:durableId="1575898805">
    <w:abstractNumId w:val="48"/>
  </w:num>
  <w:num w:numId="7" w16cid:durableId="1378318754">
    <w:abstractNumId w:val="55"/>
  </w:num>
  <w:num w:numId="8" w16cid:durableId="580287903">
    <w:abstractNumId w:val="42"/>
  </w:num>
  <w:num w:numId="9" w16cid:durableId="1550872740">
    <w:abstractNumId w:val="66"/>
  </w:num>
  <w:num w:numId="10" w16cid:durableId="1971083369">
    <w:abstractNumId w:val="4"/>
  </w:num>
  <w:num w:numId="11" w16cid:durableId="1221399460">
    <w:abstractNumId w:val="71"/>
  </w:num>
  <w:num w:numId="12" w16cid:durableId="1130344">
    <w:abstractNumId w:val="11"/>
  </w:num>
  <w:num w:numId="13" w16cid:durableId="724571868">
    <w:abstractNumId w:val="2"/>
  </w:num>
  <w:num w:numId="14" w16cid:durableId="273438372">
    <w:abstractNumId w:val="60"/>
    <w:lvlOverride w:ilvl="0">
      <w:lvl w:ilvl="0">
        <w:numFmt w:val="lowerRoman"/>
        <w:lvlText w:val="%1."/>
        <w:lvlJc w:val="right"/>
      </w:lvl>
    </w:lvlOverride>
  </w:num>
  <w:num w:numId="15" w16cid:durableId="1735548128">
    <w:abstractNumId w:val="60"/>
    <w:lvlOverride w:ilvl="0">
      <w:lvl w:ilvl="0">
        <w:numFmt w:val="lowerRoman"/>
        <w:lvlText w:val="%1."/>
        <w:lvlJc w:val="right"/>
      </w:lvl>
    </w:lvlOverride>
  </w:num>
  <w:num w:numId="16" w16cid:durableId="1888104222">
    <w:abstractNumId w:val="60"/>
    <w:lvlOverride w:ilvl="0">
      <w:lvl w:ilvl="0">
        <w:numFmt w:val="lowerRoman"/>
        <w:lvlText w:val="%1."/>
        <w:lvlJc w:val="right"/>
      </w:lvl>
    </w:lvlOverride>
  </w:num>
  <w:num w:numId="17" w16cid:durableId="1586258705">
    <w:abstractNumId w:val="60"/>
    <w:lvlOverride w:ilvl="0">
      <w:lvl w:ilvl="0">
        <w:numFmt w:val="lowerRoman"/>
        <w:lvlText w:val="%1."/>
        <w:lvlJc w:val="right"/>
      </w:lvl>
    </w:lvlOverride>
  </w:num>
  <w:num w:numId="18" w16cid:durableId="1661732417">
    <w:abstractNumId w:val="47"/>
  </w:num>
  <w:num w:numId="19" w16cid:durableId="511378157">
    <w:abstractNumId w:val="13"/>
  </w:num>
  <w:num w:numId="20" w16cid:durableId="121969876">
    <w:abstractNumId w:val="5"/>
  </w:num>
  <w:num w:numId="21" w16cid:durableId="1684628695">
    <w:abstractNumId w:val="65"/>
  </w:num>
  <w:num w:numId="22" w16cid:durableId="1107626459">
    <w:abstractNumId w:val="52"/>
  </w:num>
  <w:num w:numId="23" w16cid:durableId="118770229">
    <w:abstractNumId w:val="87"/>
  </w:num>
  <w:num w:numId="24" w16cid:durableId="177693014">
    <w:abstractNumId w:val="56"/>
  </w:num>
  <w:num w:numId="25" w16cid:durableId="580061562">
    <w:abstractNumId w:val="26"/>
  </w:num>
  <w:num w:numId="26" w16cid:durableId="1366559567">
    <w:abstractNumId w:val="23"/>
  </w:num>
  <w:num w:numId="27" w16cid:durableId="288439127">
    <w:abstractNumId w:val="28"/>
  </w:num>
  <w:num w:numId="28" w16cid:durableId="486632546">
    <w:abstractNumId w:val="14"/>
  </w:num>
  <w:num w:numId="29" w16cid:durableId="331033149">
    <w:abstractNumId w:val="6"/>
  </w:num>
  <w:num w:numId="30" w16cid:durableId="156650898">
    <w:abstractNumId w:val="69"/>
  </w:num>
  <w:num w:numId="31" w16cid:durableId="1188131849">
    <w:abstractNumId w:val="31"/>
  </w:num>
  <w:num w:numId="32" w16cid:durableId="1085417770">
    <w:abstractNumId w:val="49"/>
  </w:num>
  <w:num w:numId="33" w16cid:durableId="1683126352">
    <w:abstractNumId w:val="68"/>
  </w:num>
  <w:num w:numId="34" w16cid:durableId="71051670">
    <w:abstractNumId w:val="12"/>
  </w:num>
  <w:num w:numId="35" w16cid:durableId="385373748">
    <w:abstractNumId w:val="45"/>
  </w:num>
  <w:num w:numId="36" w16cid:durableId="56053006">
    <w:abstractNumId w:val="75"/>
  </w:num>
  <w:num w:numId="37" w16cid:durableId="1519923209">
    <w:abstractNumId w:val="76"/>
  </w:num>
  <w:num w:numId="38" w16cid:durableId="2138062333">
    <w:abstractNumId w:val="44"/>
  </w:num>
  <w:num w:numId="39" w16cid:durableId="407267627">
    <w:abstractNumId w:val="15"/>
  </w:num>
  <w:num w:numId="40" w16cid:durableId="829977268">
    <w:abstractNumId w:val="21"/>
  </w:num>
  <w:num w:numId="41" w16cid:durableId="1835872112">
    <w:abstractNumId w:val="7"/>
  </w:num>
  <w:num w:numId="42" w16cid:durableId="477842735">
    <w:abstractNumId w:val="30"/>
  </w:num>
  <w:num w:numId="43" w16cid:durableId="2017268441">
    <w:abstractNumId w:val="38"/>
  </w:num>
  <w:num w:numId="44" w16cid:durableId="2042123397">
    <w:abstractNumId w:val="43"/>
  </w:num>
  <w:num w:numId="45" w16cid:durableId="1408189321">
    <w:abstractNumId w:val="24"/>
  </w:num>
  <w:num w:numId="46" w16cid:durableId="742795116">
    <w:abstractNumId w:val="82"/>
  </w:num>
  <w:num w:numId="47" w16cid:durableId="1805199098">
    <w:abstractNumId w:val="62"/>
  </w:num>
  <w:num w:numId="48" w16cid:durableId="1170560367">
    <w:abstractNumId w:val="72"/>
  </w:num>
  <w:num w:numId="49" w16cid:durableId="1649163571">
    <w:abstractNumId w:val="40"/>
  </w:num>
  <w:num w:numId="50" w16cid:durableId="1289624069">
    <w:abstractNumId w:val="3"/>
  </w:num>
  <w:num w:numId="51" w16cid:durableId="296692196">
    <w:abstractNumId w:val="57"/>
  </w:num>
  <w:num w:numId="52" w16cid:durableId="1012873967">
    <w:abstractNumId w:val="37"/>
  </w:num>
  <w:num w:numId="53" w16cid:durableId="3015233">
    <w:abstractNumId w:val="32"/>
  </w:num>
  <w:num w:numId="54" w16cid:durableId="447243488">
    <w:abstractNumId w:val="64"/>
  </w:num>
  <w:num w:numId="55" w16cid:durableId="1405761477">
    <w:abstractNumId w:val="27"/>
  </w:num>
  <w:num w:numId="56" w16cid:durableId="2119173600">
    <w:abstractNumId w:val="17"/>
  </w:num>
  <w:num w:numId="57" w16cid:durableId="149638734">
    <w:abstractNumId w:val="74"/>
    <w:lvlOverride w:ilvl="0">
      <w:lvl w:ilvl="0">
        <w:numFmt w:val="lowerRoman"/>
        <w:lvlText w:val="%1."/>
        <w:lvlJc w:val="right"/>
      </w:lvl>
    </w:lvlOverride>
  </w:num>
  <w:num w:numId="58" w16cid:durableId="1112360491">
    <w:abstractNumId w:val="74"/>
    <w:lvlOverride w:ilvl="0">
      <w:lvl w:ilvl="0">
        <w:numFmt w:val="lowerRoman"/>
        <w:lvlText w:val="%1."/>
        <w:lvlJc w:val="right"/>
      </w:lvl>
    </w:lvlOverride>
  </w:num>
  <w:num w:numId="59" w16cid:durableId="792018799">
    <w:abstractNumId w:val="74"/>
    <w:lvlOverride w:ilvl="0">
      <w:lvl w:ilvl="0">
        <w:numFmt w:val="lowerRoman"/>
        <w:lvlText w:val="%1."/>
        <w:lvlJc w:val="right"/>
      </w:lvl>
    </w:lvlOverride>
  </w:num>
  <w:num w:numId="60" w16cid:durableId="257375012">
    <w:abstractNumId w:val="74"/>
    <w:lvlOverride w:ilvl="0">
      <w:lvl w:ilvl="0">
        <w:numFmt w:val="lowerRoman"/>
        <w:lvlText w:val="%1."/>
        <w:lvlJc w:val="right"/>
      </w:lvl>
    </w:lvlOverride>
  </w:num>
  <w:num w:numId="61" w16cid:durableId="1338727997">
    <w:abstractNumId w:val="84"/>
    <w:lvlOverride w:ilvl="0">
      <w:lvl w:ilvl="0">
        <w:numFmt w:val="lowerRoman"/>
        <w:lvlText w:val="%1."/>
        <w:lvlJc w:val="right"/>
      </w:lvl>
    </w:lvlOverride>
  </w:num>
  <w:num w:numId="62" w16cid:durableId="1764297162">
    <w:abstractNumId w:val="84"/>
    <w:lvlOverride w:ilvl="0">
      <w:lvl w:ilvl="0">
        <w:numFmt w:val="lowerRoman"/>
        <w:lvlText w:val="%1."/>
        <w:lvlJc w:val="right"/>
      </w:lvl>
    </w:lvlOverride>
  </w:num>
  <w:num w:numId="63" w16cid:durableId="458229535">
    <w:abstractNumId w:val="84"/>
    <w:lvlOverride w:ilvl="0">
      <w:lvl w:ilvl="0">
        <w:numFmt w:val="lowerRoman"/>
        <w:lvlText w:val="%1."/>
        <w:lvlJc w:val="right"/>
      </w:lvl>
    </w:lvlOverride>
  </w:num>
  <w:num w:numId="64" w16cid:durableId="680158346">
    <w:abstractNumId w:val="29"/>
  </w:num>
  <w:num w:numId="65" w16cid:durableId="1208378405">
    <w:abstractNumId w:val="36"/>
  </w:num>
  <w:num w:numId="66" w16cid:durableId="1911427373">
    <w:abstractNumId w:val="25"/>
  </w:num>
  <w:num w:numId="67" w16cid:durableId="1210724490">
    <w:abstractNumId w:val="8"/>
    <w:lvlOverride w:ilvl="0">
      <w:lvl w:ilvl="0">
        <w:numFmt w:val="lowerRoman"/>
        <w:lvlText w:val="%1."/>
        <w:lvlJc w:val="right"/>
      </w:lvl>
    </w:lvlOverride>
  </w:num>
  <w:num w:numId="68" w16cid:durableId="904487813">
    <w:abstractNumId w:val="8"/>
    <w:lvlOverride w:ilvl="0">
      <w:lvl w:ilvl="0">
        <w:numFmt w:val="lowerRoman"/>
        <w:lvlText w:val="%1."/>
        <w:lvlJc w:val="right"/>
      </w:lvl>
    </w:lvlOverride>
  </w:num>
  <w:num w:numId="69" w16cid:durableId="1459299140">
    <w:abstractNumId w:val="8"/>
    <w:lvlOverride w:ilvl="0">
      <w:lvl w:ilvl="0">
        <w:numFmt w:val="lowerRoman"/>
        <w:lvlText w:val="%1."/>
        <w:lvlJc w:val="right"/>
      </w:lvl>
    </w:lvlOverride>
  </w:num>
  <w:num w:numId="70" w16cid:durableId="1944070059">
    <w:abstractNumId w:val="8"/>
    <w:lvlOverride w:ilvl="0">
      <w:lvl w:ilvl="0">
        <w:numFmt w:val="lowerRoman"/>
        <w:lvlText w:val="%1."/>
        <w:lvlJc w:val="right"/>
      </w:lvl>
    </w:lvlOverride>
  </w:num>
  <w:num w:numId="71" w16cid:durableId="1763526071">
    <w:abstractNumId w:val="53"/>
    <w:lvlOverride w:ilvl="0">
      <w:lvl w:ilvl="0">
        <w:numFmt w:val="lowerRoman"/>
        <w:lvlText w:val="%1."/>
        <w:lvlJc w:val="right"/>
      </w:lvl>
    </w:lvlOverride>
  </w:num>
  <w:num w:numId="72" w16cid:durableId="800608255">
    <w:abstractNumId w:val="33"/>
  </w:num>
  <w:num w:numId="73" w16cid:durableId="1138492833">
    <w:abstractNumId w:val="20"/>
  </w:num>
  <w:num w:numId="74" w16cid:durableId="626354228">
    <w:abstractNumId w:val="67"/>
  </w:num>
  <w:num w:numId="75" w16cid:durableId="2005086676">
    <w:abstractNumId w:val="39"/>
  </w:num>
  <w:num w:numId="76" w16cid:durableId="1774740799">
    <w:abstractNumId w:val="58"/>
    <w:lvlOverride w:ilvl="0">
      <w:lvl w:ilvl="0">
        <w:numFmt w:val="lowerRoman"/>
        <w:lvlText w:val="%1."/>
        <w:lvlJc w:val="right"/>
      </w:lvl>
    </w:lvlOverride>
  </w:num>
  <w:num w:numId="77" w16cid:durableId="223420510">
    <w:abstractNumId w:val="58"/>
    <w:lvlOverride w:ilvl="0">
      <w:lvl w:ilvl="0">
        <w:numFmt w:val="lowerRoman"/>
        <w:lvlText w:val="%1."/>
        <w:lvlJc w:val="right"/>
      </w:lvl>
    </w:lvlOverride>
  </w:num>
  <w:num w:numId="78" w16cid:durableId="839153515">
    <w:abstractNumId w:val="58"/>
    <w:lvlOverride w:ilvl="0">
      <w:lvl w:ilvl="0">
        <w:numFmt w:val="lowerRoman"/>
        <w:lvlText w:val="%1."/>
        <w:lvlJc w:val="right"/>
      </w:lvl>
    </w:lvlOverride>
  </w:num>
  <w:num w:numId="79" w16cid:durableId="722407399">
    <w:abstractNumId w:val="58"/>
    <w:lvlOverride w:ilvl="0">
      <w:lvl w:ilvl="0">
        <w:numFmt w:val="lowerRoman"/>
        <w:lvlText w:val="%1."/>
        <w:lvlJc w:val="right"/>
      </w:lvl>
    </w:lvlOverride>
  </w:num>
  <w:num w:numId="80" w16cid:durableId="255789691">
    <w:abstractNumId w:val="58"/>
    <w:lvlOverride w:ilvl="0">
      <w:lvl w:ilvl="0">
        <w:numFmt w:val="lowerRoman"/>
        <w:lvlText w:val="%1."/>
        <w:lvlJc w:val="right"/>
      </w:lvl>
    </w:lvlOverride>
  </w:num>
  <w:num w:numId="81" w16cid:durableId="934706887">
    <w:abstractNumId w:val="58"/>
    <w:lvlOverride w:ilvl="0">
      <w:lvl w:ilvl="0">
        <w:numFmt w:val="lowerRoman"/>
        <w:lvlText w:val="%1."/>
        <w:lvlJc w:val="right"/>
      </w:lvl>
    </w:lvlOverride>
  </w:num>
  <w:num w:numId="82" w16cid:durableId="2088069425">
    <w:abstractNumId w:val="35"/>
  </w:num>
  <w:num w:numId="83" w16cid:durableId="2144737918">
    <w:abstractNumId w:val="10"/>
  </w:num>
  <w:num w:numId="84" w16cid:durableId="1510943299">
    <w:abstractNumId w:val="9"/>
  </w:num>
  <w:num w:numId="85" w16cid:durableId="243144755">
    <w:abstractNumId w:val="79"/>
  </w:num>
  <w:num w:numId="86" w16cid:durableId="658535919">
    <w:abstractNumId w:val="50"/>
  </w:num>
  <w:num w:numId="87" w16cid:durableId="627860502">
    <w:abstractNumId w:val="46"/>
  </w:num>
  <w:num w:numId="88" w16cid:durableId="1460219467">
    <w:abstractNumId w:val="81"/>
  </w:num>
  <w:num w:numId="89" w16cid:durableId="1700816488">
    <w:abstractNumId w:val="51"/>
  </w:num>
  <w:num w:numId="90" w16cid:durableId="211575541">
    <w:abstractNumId w:val="85"/>
  </w:num>
  <w:num w:numId="91" w16cid:durableId="1139155985">
    <w:abstractNumId w:val="16"/>
  </w:num>
  <w:num w:numId="92" w16cid:durableId="681787406">
    <w:abstractNumId w:val="34"/>
  </w:num>
  <w:num w:numId="93" w16cid:durableId="634945270">
    <w:abstractNumId w:val="83"/>
  </w:num>
  <w:num w:numId="94" w16cid:durableId="169178564">
    <w:abstractNumId w:val="78"/>
  </w:num>
  <w:num w:numId="95" w16cid:durableId="661468875">
    <w:abstractNumId w:val="41"/>
    <w:lvlOverride w:ilvl="0">
      <w:lvl w:ilvl="0">
        <w:numFmt w:val="lowerRoman"/>
        <w:lvlText w:val="%1."/>
        <w:lvlJc w:val="right"/>
      </w:lvl>
    </w:lvlOverride>
  </w:num>
  <w:num w:numId="96" w16cid:durableId="901020883">
    <w:abstractNumId w:val="41"/>
    <w:lvlOverride w:ilvl="0">
      <w:lvl w:ilvl="0">
        <w:numFmt w:val="lowerRoman"/>
        <w:lvlText w:val="%1."/>
        <w:lvlJc w:val="right"/>
      </w:lvl>
    </w:lvlOverride>
  </w:num>
  <w:num w:numId="97" w16cid:durableId="169297721">
    <w:abstractNumId w:val="41"/>
    <w:lvlOverride w:ilvl="0">
      <w:lvl w:ilvl="0">
        <w:numFmt w:val="lowerRoman"/>
        <w:lvlText w:val="%1."/>
        <w:lvlJc w:val="right"/>
      </w:lvl>
    </w:lvlOverride>
  </w:num>
  <w:num w:numId="98" w16cid:durableId="458499617">
    <w:abstractNumId w:val="0"/>
  </w:num>
  <w:num w:numId="99" w16cid:durableId="1325620188">
    <w:abstractNumId w:val="54"/>
  </w:num>
  <w:num w:numId="100" w16cid:durableId="1622346088">
    <w:abstractNumId w:val="61"/>
  </w:num>
  <w:num w:numId="101" w16cid:durableId="2116753559">
    <w:abstractNumId w:val="80"/>
  </w:num>
  <w:num w:numId="102" w16cid:durableId="357391315">
    <w:abstractNumId w:val="22"/>
  </w:num>
  <w:num w:numId="103" w16cid:durableId="2106534018">
    <w:abstractNumId w:val="22"/>
    <w:lvlOverride w:ilvl="1">
      <w:lvl w:ilvl="1">
        <w:numFmt w:val="lowerRoman"/>
        <w:lvlText w:val="%2."/>
        <w:lvlJc w:val="right"/>
      </w:lvl>
    </w:lvlOverride>
  </w:num>
  <w:num w:numId="104" w16cid:durableId="1807818567">
    <w:abstractNumId w:val="22"/>
    <w:lvlOverride w:ilvl="1">
      <w:lvl w:ilvl="1">
        <w:numFmt w:val="lowerRoman"/>
        <w:lvlText w:val="%2."/>
        <w:lvlJc w:val="right"/>
      </w:lvl>
    </w:lvlOverride>
  </w:num>
  <w:num w:numId="105" w16cid:durableId="731775849">
    <w:abstractNumId w:val="77"/>
  </w:num>
  <w:num w:numId="106" w16cid:durableId="1045521079">
    <w:abstractNumId w:val="59"/>
  </w:num>
  <w:num w:numId="107" w16cid:durableId="1366640459">
    <w:abstractNumId w:val="18"/>
  </w:num>
  <w:num w:numId="108" w16cid:durableId="1538814402">
    <w:abstractNumId w:val="73"/>
  </w:num>
  <w:num w:numId="109" w16cid:durableId="108110538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0571"/>
    <w:rsid w:val="00002241"/>
    <w:rsid w:val="000037AF"/>
    <w:rsid w:val="00004159"/>
    <w:rsid w:val="00004353"/>
    <w:rsid w:val="00004975"/>
    <w:rsid w:val="00004DDE"/>
    <w:rsid w:val="0000501F"/>
    <w:rsid w:val="00010A36"/>
    <w:rsid w:val="0001139B"/>
    <w:rsid w:val="00011D2F"/>
    <w:rsid w:val="00013D73"/>
    <w:rsid w:val="00014692"/>
    <w:rsid w:val="00016D29"/>
    <w:rsid w:val="000205CC"/>
    <w:rsid w:val="00021BD3"/>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0964"/>
    <w:rsid w:val="00041ED0"/>
    <w:rsid w:val="00041F71"/>
    <w:rsid w:val="00044C25"/>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97"/>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473"/>
    <w:rsid w:val="001148B5"/>
    <w:rsid w:val="001160B1"/>
    <w:rsid w:val="00116C8F"/>
    <w:rsid w:val="001170F1"/>
    <w:rsid w:val="00117E40"/>
    <w:rsid w:val="0012457E"/>
    <w:rsid w:val="00124B84"/>
    <w:rsid w:val="00130ECC"/>
    <w:rsid w:val="001322E7"/>
    <w:rsid w:val="00132E57"/>
    <w:rsid w:val="00132F7F"/>
    <w:rsid w:val="00132F89"/>
    <w:rsid w:val="00135FD4"/>
    <w:rsid w:val="00137CD3"/>
    <w:rsid w:val="00141D4A"/>
    <w:rsid w:val="00142600"/>
    <w:rsid w:val="00143AC9"/>
    <w:rsid w:val="00144233"/>
    <w:rsid w:val="001443C3"/>
    <w:rsid w:val="00144837"/>
    <w:rsid w:val="001457E5"/>
    <w:rsid w:val="0014794A"/>
    <w:rsid w:val="00151E19"/>
    <w:rsid w:val="0015318A"/>
    <w:rsid w:val="001537E2"/>
    <w:rsid w:val="00156B48"/>
    <w:rsid w:val="00162C5D"/>
    <w:rsid w:val="00162CA5"/>
    <w:rsid w:val="00163B8D"/>
    <w:rsid w:val="00164197"/>
    <w:rsid w:val="001648C1"/>
    <w:rsid w:val="001653EC"/>
    <w:rsid w:val="00166B91"/>
    <w:rsid w:val="001677A7"/>
    <w:rsid w:val="00174299"/>
    <w:rsid w:val="001754E8"/>
    <w:rsid w:val="0017603A"/>
    <w:rsid w:val="0017636E"/>
    <w:rsid w:val="00176578"/>
    <w:rsid w:val="00176FE0"/>
    <w:rsid w:val="00177462"/>
    <w:rsid w:val="001815E2"/>
    <w:rsid w:val="00181D1E"/>
    <w:rsid w:val="00182A62"/>
    <w:rsid w:val="00183CF7"/>
    <w:rsid w:val="001840A3"/>
    <w:rsid w:val="00185130"/>
    <w:rsid w:val="00185A3C"/>
    <w:rsid w:val="00187849"/>
    <w:rsid w:val="001919D6"/>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433D"/>
    <w:rsid w:val="001D69A4"/>
    <w:rsid w:val="001D759C"/>
    <w:rsid w:val="001E0B8C"/>
    <w:rsid w:val="001E40E0"/>
    <w:rsid w:val="001E561C"/>
    <w:rsid w:val="001F05C7"/>
    <w:rsid w:val="001F2BEF"/>
    <w:rsid w:val="001F734C"/>
    <w:rsid w:val="001F7BAD"/>
    <w:rsid w:val="0020028D"/>
    <w:rsid w:val="00201D41"/>
    <w:rsid w:val="00203814"/>
    <w:rsid w:val="00205373"/>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2BED"/>
    <w:rsid w:val="0029357B"/>
    <w:rsid w:val="00293E1D"/>
    <w:rsid w:val="0029414A"/>
    <w:rsid w:val="00295227"/>
    <w:rsid w:val="00296AD5"/>
    <w:rsid w:val="00296E37"/>
    <w:rsid w:val="00296FE8"/>
    <w:rsid w:val="002A2D50"/>
    <w:rsid w:val="002A32F6"/>
    <w:rsid w:val="002A746A"/>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C66C4"/>
    <w:rsid w:val="002D0A6A"/>
    <w:rsid w:val="002D1B99"/>
    <w:rsid w:val="002D1D6F"/>
    <w:rsid w:val="002D2765"/>
    <w:rsid w:val="002D2AC7"/>
    <w:rsid w:val="002D2C05"/>
    <w:rsid w:val="002D2DF9"/>
    <w:rsid w:val="002D333A"/>
    <w:rsid w:val="002D5B01"/>
    <w:rsid w:val="002E1A3C"/>
    <w:rsid w:val="002E7A20"/>
    <w:rsid w:val="002F07B3"/>
    <w:rsid w:val="002F341C"/>
    <w:rsid w:val="003011AF"/>
    <w:rsid w:val="003021A2"/>
    <w:rsid w:val="00302E27"/>
    <w:rsid w:val="0030374A"/>
    <w:rsid w:val="00306D8B"/>
    <w:rsid w:val="0030750F"/>
    <w:rsid w:val="003075EE"/>
    <w:rsid w:val="00310191"/>
    <w:rsid w:val="00311298"/>
    <w:rsid w:val="003117E7"/>
    <w:rsid w:val="0031205F"/>
    <w:rsid w:val="0031285F"/>
    <w:rsid w:val="003147D3"/>
    <w:rsid w:val="00315B15"/>
    <w:rsid w:val="00315BDB"/>
    <w:rsid w:val="00320589"/>
    <w:rsid w:val="00320830"/>
    <w:rsid w:val="00322A98"/>
    <w:rsid w:val="00323616"/>
    <w:rsid w:val="00324146"/>
    <w:rsid w:val="0032574F"/>
    <w:rsid w:val="00325B5E"/>
    <w:rsid w:val="00326577"/>
    <w:rsid w:val="00326775"/>
    <w:rsid w:val="00326E11"/>
    <w:rsid w:val="0032739D"/>
    <w:rsid w:val="00330B43"/>
    <w:rsid w:val="00331D06"/>
    <w:rsid w:val="00334A4B"/>
    <w:rsid w:val="00334C0E"/>
    <w:rsid w:val="00335AAA"/>
    <w:rsid w:val="00341CE8"/>
    <w:rsid w:val="00345C17"/>
    <w:rsid w:val="00345CE5"/>
    <w:rsid w:val="0034749E"/>
    <w:rsid w:val="00350648"/>
    <w:rsid w:val="00351DD0"/>
    <w:rsid w:val="00352D36"/>
    <w:rsid w:val="003538B9"/>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22E2"/>
    <w:rsid w:val="00372AAA"/>
    <w:rsid w:val="00372AF8"/>
    <w:rsid w:val="003738D0"/>
    <w:rsid w:val="00373A7A"/>
    <w:rsid w:val="00374E68"/>
    <w:rsid w:val="00375C3C"/>
    <w:rsid w:val="00376E45"/>
    <w:rsid w:val="00382C5D"/>
    <w:rsid w:val="00382F0D"/>
    <w:rsid w:val="00384B64"/>
    <w:rsid w:val="0038619E"/>
    <w:rsid w:val="0038748F"/>
    <w:rsid w:val="0039062D"/>
    <w:rsid w:val="003934A5"/>
    <w:rsid w:val="00395C76"/>
    <w:rsid w:val="003975E2"/>
    <w:rsid w:val="003A3351"/>
    <w:rsid w:val="003A6BC6"/>
    <w:rsid w:val="003A6FE2"/>
    <w:rsid w:val="003B05D8"/>
    <w:rsid w:val="003B1868"/>
    <w:rsid w:val="003B361E"/>
    <w:rsid w:val="003B37EB"/>
    <w:rsid w:val="003B403A"/>
    <w:rsid w:val="003C073B"/>
    <w:rsid w:val="003C2113"/>
    <w:rsid w:val="003C28EF"/>
    <w:rsid w:val="003C4246"/>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49A"/>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2033"/>
    <w:rsid w:val="0043401D"/>
    <w:rsid w:val="00440235"/>
    <w:rsid w:val="004405A2"/>
    <w:rsid w:val="00441C4B"/>
    <w:rsid w:val="004423ED"/>
    <w:rsid w:val="004438A0"/>
    <w:rsid w:val="00443A1E"/>
    <w:rsid w:val="00443DE5"/>
    <w:rsid w:val="00444DFC"/>
    <w:rsid w:val="004504E2"/>
    <w:rsid w:val="00454BBF"/>
    <w:rsid w:val="004572B8"/>
    <w:rsid w:val="0046039B"/>
    <w:rsid w:val="0046163B"/>
    <w:rsid w:val="00462C6E"/>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8C4"/>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31E6"/>
    <w:rsid w:val="00515249"/>
    <w:rsid w:val="00515888"/>
    <w:rsid w:val="00515B8E"/>
    <w:rsid w:val="0051660B"/>
    <w:rsid w:val="00517014"/>
    <w:rsid w:val="005219C4"/>
    <w:rsid w:val="00523D35"/>
    <w:rsid w:val="005243B6"/>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4108"/>
    <w:rsid w:val="005767A3"/>
    <w:rsid w:val="00577B18"/>
    <w:rsid w:val="005812C1"/>
    <w:rsid w:val="00584A57"/>
    <w:rsid w:val="00585DF9"/>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0698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37A3"/>
    <w:rsid w:val="00634252"/>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67DA"/>
    <w:rsid w:val="00677DDF"/>
    <w:rsid w:val="0068040C"/>
    <w:rsid w:val="0068083B"/>
    <w:rsid w:val="00680D15"/>
    <w:rsid w:val="0068295A"/>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4E27"/>
    <w:rsid w:val="006B502D"/>
    <w:rsid w:val="006B565C"/>
    <w:rsid w:val="006B5A8C"/>
    <w:rsid w:val="006C0CAD"/>
    <w:rsid w:val="006C1A1B"/>
    <w:rsid w:val="006D01BA"/>
    <w:rsid w:val="006D21CE"/>
    <w:rsid w:val="006D3933"/>
    <w:rsid w:val="006D3BF8"/>
    <w:rsid w:val="006D3E34"/>
    <w:rsid w:val="006D45D7"/>
    <w:rsid w:val="006D4C8B"/>
    <w:rsid w:val="006D5B2D"/>
    <w:rsid w:val="006D5EE2"/>
    <w:rsid w:val="006E28E0"/>
    <w:rsid w:val="006E2CEC"/>
    <w:rsid w:val="006E3069"/>
    <w:rsid w:val="006E47E1"/>
    <w:rsid w:val="006F0CFA"/>
    <w:rsid w:val="006F1F09"/>
    <w:rsid w:val="006F32D4"/>
    <w:rsid w:val="006F3B2D"/>
    <w:rsid w:val="006F4495"/>
    <w:rsid w:val="006F63DF"/>
    <w:rsid w:val="006F651E"/>
    <w:rsid w:val="006F6833"/>
    <w:rsid w:val="006F6A24"/>
    <w:rsid w:val="006F764A"/>
    <w:rsid w:val="006F77AF"/>
    <w:rsid w:val="006F7B8A"/>
    <w:rsid w:val="00701449"/>
    <w:rsid w:val="00702E8C"/>
    <w:rsid w:val="007037B2"/>
    <w:rsid w:val="00704CA9"/>
    <w:rsid w:val="00704E39"/>
    <w:rsid w:val="00704ED6"/>
    <w:rsid w:val="007068A3"/>
    <w:rsid w:val="00707E10"/>
    <w:rsid w:val="00710CC1"/>
    <w:rsid w:val="00711EC0"/>
    <w:rsid w:val="00712161"/>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36F"/>
    <w:rsid w:val="007645BD"/>
    <w:rsid w:val="00764A70"/>
    <w:rsid w:val="0076729A"/>
    <w:rsid w:val="00767321"/>
    <w:rsid w:val="00767DDF"/>
    <w:rsid w:val="007712F5"/>
    <w:rsid w:val="00771BAF"/>
    <w:rsid w:val="0077224D"/>
    <w:rsid w:val="00774A9B"/>
    <w:rsid w:val="00776AB0"/>
    <w:rsid w:val="0077785B"/>
    <w:rsid w:val="00781686"/>
    <w:rsid w:val="00782197"/>
    <w:rsid w:val="00783FD5"/>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963"/>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121"/>
    <w:rsid w:val="008202A4"/>
    <w:rsid w:val="00820436"/>
    <w:rsid w:val="00821C1E"/>
    <w:rsid w:val="0082217E"/>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84E"/>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406A"/>
    <w:rsid w:val="008854E2"/>
    <w:rsid w:val="00886300"/>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1BEF"/>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0C70"/>
    <w:rsid w:val="008C147A"/>
    <w:rsid w:val="008C27E1"/>
    <w:rsid w:val="008C29D5"/>
    <w:rsid w:val="008C3BDB"/>
    <w:rsid w:val="008C5693"/>
    <w:rsid w:val="008D2063"/>
    <w:rsid w:val="008D4427"/>
    <w:rsid w:val="008D4BF8"/>
    <w:rsid w:val="008D52E5"/>
    <w:rsid w:val="008D58A0"/>
    <w:rsid w:val="008D6EA2"/>
    <w:rsid w:val="008E2DDA"/>
    <w:rsid w:val="008E537F"/>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37264"/>
    <w:rsid w:val="009410E7"/>
    <w:rsid w:val="00941576"/>
    <w:rsid w:val="0094350E"/>
    <w:rsid w:val="00950696"/>
    <w:rsid w:val="00953A11"/>
    <w:rsid w:val="00956A68"/>
    <w:rsid w:val="00957560"/>
    <w:rsid w:val="0096034E"/>
    <w:rsid w:val="0096071D"/>
    <w:rsid w:val="00960935"/>
    <w:rsid w:val="00960AFD"/>
    <w:rsid w:val="009612CB"/>
    <w:rsid w:val="0096242B"/>
    <w:rsid w:val="0096336F"/>
    <w:rsid w:val="00964294"/>
    <w:rsid w:val="00964536"/>
    <w:rsid w:val="009723CB"/>
    <w:rsid w:val="0097244E"/>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052"/>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3CF"/>
    <w:rsid w:val="009F592D"/>
    <w:rsid w:val="009F6BAE"/>
    <w:rsid w:val="009F7A08"/>
    <w:rsid w:val="00A002A4"/>
    <w:rsid w:val="00A009BF"/>
    <w:rsid w:val="00A012BD"/>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3E79"/>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649C6"/>
    <w:rsid w:val="00A70055"/>
    <w:rsid w:val="00A73034"/>
    <w:rsid w:val="00A7671D"/>
    <w:rsid w:val="00A809D5"/>
    <w:rsid w:val="00A812E7"/>
    <w:rsid w:val="00A8197B"/>
    <w:rsid w:val="00A82654"/>
    <w:rsid w:val="00A834F0"/>
    <w:rsid w:val="00A85189"/>
    <w:rsid w:val="00A875BF"/>
    <w:rsid w:val="00A93522"/>
    <w:rsid w:val="00A93CDF"/>
    <w:rsid w:val="00A95B73"/>
    <w:rsid w:val="00A974B6"/>
    <w:rsid w:val="00AA0B92"/>
    <w:rsid w:val="00AA0E9F"/>
    <w:rsid w:val="00AA3AEF"/>
    <w:rsid w:val="00AA3B5E"/>
    <w:rsid w:val="00AA4686"/>
    <w:rsid w:val="00AA52AF"/>
    <w:rsid w:val="00AB02A3"/>
    <w:rsid w:val="00AB1052"/>
    <w:rsid w:val="00AB164E"/>
    <w:rsid w:val="00AB4E56"/>
    <w:rsid w:val="00AB6621"/>
    <w:rsid w:val="00AB787B"/>
    <w:rsid w:val="00AB79B6"/>
    <w:rsid w:val="00AC0077"/>
    <w:rsid w:val="00AC416A"/>
    <w:rsid w:val="00AC778A"/>
    <w:rsid w:val="00AC7E37"/>
    <w:rsid w:val="00AD20E5"/>
    <w:rsid w:val="00AD2903"/>
    <w:rsid w:val="00AD2ED4"/>
    <w:rsid w:val="00AD3A60"/>
    <w:rsid w:val="00AD3CFC"/>
    <w:rsid w:val="00AD4F11"/>
    <w:rsid w:val="00AD67DD"/>
    <w:rsid w:val="00AD7F63"/>
    <w:rsid w:val="00AE0E38"/>
    <w:rsid w:val="00AE13E8"/>
    <w:rsid w:val="00AE217C"/>
    <w:rsid w:val="00AE2885"/>
    <w:rsid w:val="00AE30C3"/>
    <w:rsid w:val="00AE4BC7"/>
    <w:rsid w:val="00AE5908"/>
    <w:rsid w:val="00AE606F"/>
    <w:rsid w:val="00AE6F3C"/>
    <w:rsid w:val="00AF02AD"/>
    <w:rsid w:val="00AF0750"/>
    <w:rsid w:val="00AF14FC"/>
    <w:rsid w:val="00AF220E"/>
    <w:rsid w:val="00AF225C"/>
    <w:rsid w:val="00AF23BD"/>
    <w:rsid w:val="00AF242C"/>
    <w:rsid w:val="00AF5859"/>
    <w:rsid w:val="00B004D8"/>
    <w:rsid w:val="00B00703"/>
    <w:rsid w:val="00B00F3D"/>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553F"/>
    <w:rsid w:val="00B569F2"/>
    <w:rsid w:val="00B56B09"/>
    <w:rsid w:val="00B56B61"/>
    <w:rsid w:val="00B57564"/>
    <w:rsid w:val="00B57F15"/>
    <w:rsid w:val="00B629B1"/>
    <w:rsid w:val="00B62C59"/>
    <w:rsid w:val="00B63458"/>
    <w:rsid w:val="00B63E61"/>
    <w:rsid w:val="00B65F0C"/>
    <w:rsid w:val="00B66E70"/>
    <w:rsid w:val="00B66EA2"/>
    <w:rsid w:val="00B66FE7"/>
    <w:rsid w:val="00B70E42"/>
    <w:rsid w:val="00B712B1"/>
    <w:rsid w:val="00B73236"/>
    <w:rsid w:val="00B7439D"/>
    <w:rsid w:val="00B74B79"/>
    <w:rsid w:val="00B80829"/>
    <w:rsid w:val="00B80851"/>
    <w:rsid w:val="00B82A2C"/>
    <w:rsid w:val="00B839F4"/>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0FDE"/>
    <w:rsid w:val="00BC1C79"/>
    <w:rsid w:val="00BC27DC"/>
    <w:rsid w:val="00BC2B64"/>
    <w:rsid w:val="00BC2C47"/>
    <w:rsid w:val="00BC2DB8"/>
    <w:rsid w:val="00BC30F8"/>
    <w:rsid w:val="00BC39CC"/>
    <w:rsid w:val="00BC4B4A"/>
    <w:rsid w:val="00BC4CF0"/>
    <w:rsid w:val="00BC6331"/>
    <w:rsid w:val="00BC649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740E"/>
    <w:rsid w:val="00C07D39"/>
    <w:rsid w:val="00C12426"/>
    <w:rsid w:val="00C12F9D"/>
    <w:rsid w:val="00C17338"/>
    <w:rsid w:val="00C20765"/>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61E0D"/>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B77CC"/>
    <w:rsid w:val="00CC25C9"/>
    <w:rsid w:val="00CC4AD4"/>
    <w:rsid w:val="00CC6CD2"/>
    <w:rsid w:val="00CC7235"/>
    <w:rsid w:val="00CD08B1"/>
    <w:rsid w:val="00CD0F80"/>
    <w:rsid w:val="00CD27EE"/>
    <w:rsid w:val="00CD4463"/>
    <w:rsid w:val="00CD460D"/>
    <w:rsid w:val="00CD52DC"/>
    <w:rsid w:val="00CE34FE"/>
    <w:rsid w:val="00CE4A71"/>
    <w:rsid w:val="00CE5AA5"/>
    <w:rsid w:val="00CE65B4"/>
    <w:rsid w:val="00CF1019"/>
    <w:rsid w:val="00CF1377"/>
    <w:rsid w:val="00CF241C"/>
    <w:rsid w:val="00CF24AD"/>
    <w:rsid w:val="00CF282A"/>
    <w:rsid w:val="00CF2CE8"/>
    <w:rsid w:val="00CF445D"/>
    <w:rsid w:val="00CF4C7F"/>
    <w:rsid w:val="00CF575D"/>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7B8"/>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5A99"/>
    <w:rsid w:val="00D56552"/>
    <w:rsid w:val="00D5778B"/>
    <w:rsid w:val="00D57CB5"/>
    <w:rsid w:val="00D60E38"/>
    <w:rsid w:val="00D63E5C"/>
    <w:rsid w:val="00D657BC"/>
    <w:rsid w:val="00D65EC2"/>
    <w:rsid w:val="00D65FF3"/>
    <w:rsid w:val="00D74024"/>
    <w:rsid w:val="00D75D1C"/>
    <w:rsid w:val="00D7686A"/>
    <w:rsid w:val="00D769DF"/>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5E20"/>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430"/>
    <w:rsid w:val="00E12D0F"/>
    <w:rsid w:val="00E13664"/>
    <w:rsid w:val="00E13C2A"/>
    <w:rsid w:val="00E16051"/>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8A3"/>
    <w:rsid w:val="00E54BCA"/>
    <w:rsid w:val="00E55F02"/>
    <w:rsid w:val="00E56CF0"/>
    <w:rsid w:val="00E63B9B"/>
    <w:rsid w:val="00E64266"/>
    <w:rsid w:val="00E66CD6"/>
    <w:rsid w:val="00E725F7"/>
    <w:rsid w:val="00E73027"/>
    <w:rsid w:val="00E7417E"/>
    <w:rsid w:val="00E76C85"/>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141"/>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14D7"/>
    <w:rsid w:val="00F241F6"/>
    <w:rsid w:val="00F242F6"/>
    <w:rsid w:val="00F24B2C"/>
    <w:rsid w:val="00F24D01"/>
    <w:rsid w:val="00F264FC"/>
    <w:rsid w:val="00F268D6"/>
    <w:rsid w:val="00F30FA2"/>
    <w:rsid w:val="00F36E46"/>
    <w:rsid w:val="00F40750"/>
    <w:rsid w:val="00F41982"/>
    <w:rsid w:val="00F441FD"/>
    <w:rsid w:val="00F4512D"/>
    <w:rsid w:val="00F45A18"/>
    <w:rsid w:val="00F50C29"/>
    <w:rsid w:val="00F51DBF"/>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11CE"/>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430"/>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086017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161918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7553825">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4203524">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222710">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3816159">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18840699">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168069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09154062">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48927637">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1740742">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5136893">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1727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3425714">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183220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304926">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09756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88975199">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88209826">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532191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08286644">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5250049">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1429791">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477307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69703185">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2168909">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56249">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15632103">
      <w:bodyDiv w:val="1"/>
      <w:marLeft w:val="0"/>
      <w:marRight w:val="0"/>
      <w:marTop w:val="0"/>
      <w:marBottom w:val="0"/>
      <w:divBdr>
        <w:top w:val="none" w:sz="0" w:space="0" w:color="auto"/>
        <w:left w:val="none" w:sz="0" w:space="0" w:color="auto"/>
        <w:bottom w:val="none" w:sz="0" w:space="0" w:color="auto"/>
        <w:right w:val="none" w:sz="0" w:space="0" w:color="auto"/>
      </w:divBdr>
    </w:div>
    <w:div w:id="1116555931">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25814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815116">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1277650">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296993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435022">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498686603">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46411573">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107571">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387854">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28409933">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801840">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419902">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0529096">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6015394">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3746386">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8983772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19906844">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26340718">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sfc.hk/edistributionWeb/gateway/EN/news-and-announcements/news/doc?refNo=25PR99" TargetMode="External"/><Relationship Id="rId18" Type="http://schemas.openxmlformats.org/officeDocument/2006/relationships/hyperlink" Target="https://apps.sfc.hk/edistributionWeb/gateway/EN/news-and-announcements/news/doc?refNo=25PR104" TargetMode="External"/><Relationship Id="rId26" Type="http://schemas.openxmlformats.org/officeDocument/2006/relationships/hyperlink" Target="https://www.govinfo.gov/content/pkg/CFR-2014-title17-vol4/pdf/CFR-2014-title17-vol4-sec240-19b-4.pdf" TargetMode="External"/><Relationship Id="rId39" Type="http://schemas.openxmlformats.org/officeDocument/2006/relationships/fontTable" Target="fontTable.xml"/><Relationship Id="rId21" Type="http://schemas.openxmlformats.org/officeDocument/2006/relationships/hyperlink" Target="https://www.sec.gov/files/rules/sro/cboebzx/2025/34-103405.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legislation.gov.hk/hk/cap571" TargetMode="External"/><Relationship Id="rId17" Type="http://schemas.openxmlformats.org/officeDocument/2006/relationships/hyperlink" Target="https://www.sec.gov/newsroom/speeches-statements/cf-crypto-asset-exchange-traded-products-070125" TargetMode="External"/><Relationship Id="rId25" Type="http://schemas.openxmlformats.org/officeDocument/2006/relationships/hyperlink" Target="https://www.govinfo.gov/content/pkg/COMPS-1885/pdf/COMPS-1885.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info.gov/content/pkg/COMPS-1885/pdf/COMPS-1885.pdf" TargetMode="External"/><Relationship Id="rId20" Type="http://schemas.openxmlformats.org/officeDocument/2006/relationships/hyperlink" Target="https://apps.sfc.hk/edistributionWeb/gateway/EN/news-and-announcements/news/doc?refNo=25PR104" TargetMode="External"/><Relationship Id="rId29" Type="http://schemas.openxmlformats.org/officeDocument/2006/relationships/hyperlink" Target="https://www.sec.gov/newsroom/speeches-statements/peirce-statement-tokenized-securities-070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gislation.gov.hk/hk/cap615" TargetMode="External"/><Relationship Id="rId24" Type="http://schemas.openxmlformats.org/officeDocument/2006/relationships/hyperlink" Target="https://www.sec.gov/files/rules/sro/nasdaq/2025/34-103406.pdf" TargetMode="External"/><Relationship Id="rId32" Type="http://schemas.openxmlformats.org/officeDocument/2006/relationships/hyperlink" Target="mailto:unsubscribe@charltonslaw.com?subject=unsubscribe%20-Hong%20Kong%20Law-"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info.gov/content/pkg/COMPS-1884/pdf/COMPS-1884.pdf" TargetMode="External"/><Relationship Id="rId23" Type="http://schemas.openxmlformats.org/officeDocument/2006/relationships/hyperlink" Target="https://www.sec.gov/files/rules/sro/cboebzx/2025/34-103405.pdf" TargetMode="External"/><Relationship Id="rId28" Type="http://schemas.openxmlformats.org/officeDocument/2006/relationships/hyperlink" Target="https://www.sec.gov/files/rules/sro/nasdaq/2025/34-103406.pdf" TargetMode="External"/><Relationship Id="rId36" Type="http://schemas.openxmlformats.org/officeDocument/2006/relationships/footer" Target="footer2.xml"/><Relationship Id="rId10" Type="http://schemas.openxmlformats.org/officeDocument/2006/relationships/hyperlink" Target="https://www.sfc.hk/-/media/EN/files/ER/ASPIRe/ASPIRe-roadmap-for-Hong-Kongs-virtual-asset-market-Eng.pdf?rev=1ff2b9ab976f482e924b1d911c55b27a&amp;hash=ABF3EDC5C737FE8435568222D04417EA" TargetMode="External"/><Relationship Id="rId19" Type="http://schemas.openxmlformats.org/officeDocument/2006/relationships/hyperlink" Target="https://www.sfc.hk/-/media/EN/files/ER/ASPIRe/ASPIRe-roadmap-for-Hong-Kongs-virtual-asset-market-Eng.pdf?rev=1ff2b9ab976f482e924b1d911c55b27a&amp;hash=ABF3EDC5C737FE8435568222D04417EA" TargetMode="External"/><Relationship Id="rId31" Type="http://schemas.openxmlformats.org/officeDocument/2006/relationships/hyperlink" Target="https://www.sec.gov/newsroom/speeches-statements/peirce-statement-tokenized-securities-070925" TargetMode="External"/><Relationship Id="rId4" Type="http://schemas.openxmlformats.org/officeDocument/2006/relationships/settings" Target="settings.xml"/><Relationship Id="rId9" Type="http://schemas.openxmlformats.org/officeDocument/2006/relationships/hyperlink" Target="https://apps.sfc.hk/edistributionWeb/api/consultation/openFile?lang=EN&amp;refNo=25CP7" TargetMode="External"/><Relationship Id="rId14" Type="http://schemas.openxmlformats.org/officeDocument/2006/relationships/hyperlink" Target="https://www.sec.gov/newsroom/speeches-statements/cf-crypto-asset-exchange-traded-products-070125" TargetMode="External"/><Relationship Id="rId22" Type="http://schemas.openxmlformats.org/officeDocument/2006/relationships/hyperlink" Target="https://www.govinfo.gov/content/pkg/CFR-2014-title17-vol4/pdf/CFR-2014-title17-vol4-sec240-19b-4.pdf" TargetMode="External"/><Relationship Id="rId27" Type="http://schemas.openxmlformats.org/officeDocument/2006/relationships/hyperlink" Target="mailto:rule-comments@sec.gov" TargetMode="External"/><Relationship Id="rId30" Type="http://schemas.openxmlformats.org/officeDocument/2006/relationships/hyperlink" Target="https://www.sec.gov/newsroom/speeches-statements/cf-crypto-securities-041025" TargetMode="External"/><Relationship Id="rId35" Type="http://schemas.openxmlformats.org/officeDocument/2006/relationships/footer" Target="footer1.xml"/><Relationship Id="rId8" Type="http://schemas.openxmlformats.org/officeDocument/2006/relationships/hyperlink" Target="https://apps.sfc.hk/edistributionWeb/api/consultation/openFile?lang=EN&amp;refNo=25CP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16624</TotalTime>
  <Pages>9</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800</cp:revision>
  <dcterms:created xsi:type="dcterms:W3CDTF">2024-12-09T10:39:00Z</dcterms:created>
  <dcterms:modified xsi:type="dcterms:W3CDTF">2025-07-18T02:41:00Z</dcterms:modified>
</cp:coreProperties>
</file>