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081D907F"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4E264B">
        <w:rPr>
          <w:rFonts w:ascii="Arial" w:eastAsia="Cambria" w:hAnsi="Arial" w:cs="Arial"/>
          <w:color w:val="FFFFFF"/>
          <w:lang w:val="en-GB"/>
        </w:rPr>
        <w:t>5</w:t>
      </w:r>
      <w:r w:rsidR="00C44B37">
        <w:rPr>
          <w:rFonts w:ascii="Arial" w:eastAsia="Cambria" w:hAnsi="Arial" w:cs="Arial"/>
          <w:color w:val="FFFFFF"/>
          <w:lang w:val="en-GB"/>
        </w:rPr>
        <w:t>7</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537EE4">
        <w:rPr>
          <w:rFonts w:ascii="Arial" w:eastAsia="Cambria" w:hAnsi="Arial" w:cs="Arial"/>
          <w:color w:val="FFFFFF"/>
          <w:lang w:val="en-GB"/>
        </w:rPr>
        <w:t>September</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462F6E9C"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9E64E5">
        <w:rPr>
          <w:rFonts w:ascii="Arial" w:eastAsia="Cambria" w:hAnsi="Arial" w:cs="Arial"/>
          <w:sz w:val="28"/>
          <w:szCs w:val="24"/>
          <w:lang w:val="en-GB"/>
        </w:rPr>
        <w:instrText>HYPERLINK "https://charltonsquantum.com/quantum-updates-57-global-crypto-regulatory-enforcement-updates/"</w:instrText>
      </w:r>
      <w:r w:rsidR="009E64E5">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4E466DB" w14:textId="1D76AFA4" w:rsidR="00E4055D" w:rsidRPr="00B004D8" w:rsidRDefault="005B0584" w:rsidP="00B004D8">
      <w:pPr>
        <w:spacing w:after="200"/>
        <w:rPr>
          <w:b/>
          <w:bCs/>
          <w:color w:val="FF6E00"/>
          <w:lang w:val="en-PH"/>
        </w:rPr>
      </w:pPr>
      <w:r>
        <w:rPr>
          <w:rFonts w:ascii="Arial" w:eastAsia="Cambria" w:hAnsi="Arial" w:cs="Arial"/>
          <w:sz w:val="28"/>
          <w:szCs w:val="24"/>
          <w:lang w:val="en-GB"/>
        </w:rPr>
        <w:fldChar w:fldCharType="end"/>
      </w:r>
    </w:p>
    <w:p w14:paraId="5521C7B0" w14:textId="77777777" w:rsidR="00387761" w:rsidRPr="00387761" w:rsidRDefault="00387761" w:rsidP="00387761">
      <w:pPr>
        <w:jc w:val="both"/>
        <w:rPr>
          <w:b/>
          <w:bCs/>
          <w:color w:val="FF6E00"/>
          <w:lang w:val="en-PH"/>
        </w:rPr>
      </w:pPr>
      <w:r w:rsidRPr="00387761">
        <w:rPr>
          <w:b/>
          <w:bCs/>
          <w:color w:val="FF6E00"/>
          <w:lang w:val="en-PH"/>
        </w:rPr>
        <w:t>United States SEC Crypto Task Force to Host Roundtable on Financial Surveillance and Privacy</w:t>
      </w:r>
    </w:p>
    <w:p w14:paraId="799B2B89" w14:textId="77777777" w:rsidR="00387761" w:rsidRPr="00387761" w:rsidRDefault="00387761" w:rsidP="00387761">
      <w:pPr>
        <w:jc w:val="both"/>
        <w:rPr>
          <w:rFonts w:eastAsia="Times New Roman"/>
          <w:bCs/>
          <w:lang w:val="en-PH"/>
        </w:rPr>
      </w:pPr>
      <w:r w:rsidRPr="00387761">
        <w:rPr>
          <w:rFonts w:eastAsia="Times New Roman"/>
          <w:bCs/>
          <w:lang w:val="en-PH"/>
        </w:rPr>
        <w:t>On 8 September 2025, the United States Securities and Exchange Commission (</w:t>
      </w:r>
      <w:r w:rsidRPr="00387761">
        <w:rPr>
          <w:rFonts w:eastAsia="Times New Roman"/>
          <w:b/>
          <w:bCs/>
          <w:lang w:val="en-PH"/>
        </w:rPr>
        <w:t>US SEC</w:t>
      </w:r>
      <w:r w:rsidRPr="00387761">
        <w:rPr>
          <w:rFonts w:eastAsia="Times New Roman"/>
          <w:bCs/>
          <w:lang w:val="en-PH"/>
        </w:rPr>
        <w:t>) announced that its </w:t>
      </w:r>
      <w:hyperlink r:id="rId8" w:tgtFrame="_blank" w:history="1">
        <w:r w:rsidRPr="00387761">
          <w:rPr>
            <w:rStyle w:val="Hyperlink"/>
            <w:rFonts w:eastAsia="Times New Roman"/>
            <w:bCs/>
            <w:color w:val="FF6E00"/>
            <w:u w:val="none"/>
            <w:lang w:val="en-PH"/>
          </w:rPr>
          <w:t>Crypto Task Force</w:t>
        </w:r>
      </w:hyperlink>
      <w:r w:rsidRPr="00387761">
        <w:rPr>
          <w:rFonts w:eastAsia="Times New Roman"/>
          <w:bCs/>
          <w:lang w:val="en-PH"/>
        </w:rPr>
        <w:t> will host a public roundtable on </w:t>
      </w:r>
      <w:hyperlink r:id="rId9" w:tgtFrame="_blank" w:history="1">
        <w:r w:rsidRPr="00387761">
          <w:rPr>
            <w:rStyle w:val="Hyperlink"/>
            <w:rFonts w:eastAsia="Times New Roman"/>
            <w:bCs/>
            <w:color w:val="FF6E00"/>
            <w:u w:val="none"/>
            <w:lang w:val="en-PH"/>
          </w:rPr>
          <w:t>financial surveillance and privacy</w:t>
        </w:r>
      </w:hyperlink>
      <w:r w:rsidRPr="00387761">
        <w:rPr>
          <w:rFonts w:eastAsia="Times New Roman"/>
          <w:bCs/>
          <w:lang w:val="en-PH"/>
        </w:rPr>
        <w:t>. The event is scheduled for 17 October 2025, from 1 p.m. to 4 p.m., at the US SEC headquarters in Washington D.C. The roundtable follows the </w:t>
      </w:r>
      <w:hyperlink r:id="rId10" w:tgtFrame="_blank" w:history="1">
        <w:r w:rsidRPr="00387761">
          <w:rPr>
            <w:rStyle w:val="Hyperlink"/>
            <w:rFonts w:eastAsia="Times New Roman"/>
            <w:bCs/>
            <w:i/>
            <w:iCs/>
            <w:color w:val="FF6E00"/>
            <w:u w:val="none"/>
            <w:lang w:val="en-PH"/>
          </w:rPr>
          <w:t>Spring Sprint Toward Crypto Clarity</w:t>
        </w:r>
        <w:r w:rsidRPr="00387761">
          <w:rPr>
            <w:rStyle w:val="Hyperlink"/>
            <w:rFonts w:eastAsia="Times New Roman"/>
            <w:bCs/>
            <w:lang w:val="en-PH"/>
          </w:rPr>
          <w:t> </w:t>
        </w:r>
      </w:hyperlink>
      <w:r w:rsidRPr="00387761">
        <w:rPr>
          <w:rFonts w:eastAsia="Times New Roman"/>
          <w:bCs/>
          <w:lang w:val="en-PH"/>
        </w:rPr>
        <w:t>series of discussions, the </w:t>
      </w:r>
      <w:hyperlink r:id="rId11" w:tgtFrame="_blank" w:history="1">
        <w:r w:rsidRPr="00387761">
          <w:rPr>
            <w:rStyle w:val="Hyperlink"/>
            <w:rFonts w:eastAsia="Times New Roman"/>
            <w:bCs/>
            <w:color w:val="FF6E00"/>
            <w:u w:val="none"/>
            <w:lang w:val="en-PH"/>
          </w:rPr>
          <w:t>President’s Executive Order on Digital Assets</w:t>
        </w:r>
        <w:r w:rsidRPr="00387761">
          <w:rPr>
            <w:rStyle w:val="Hyperlink"/>
            <w:rFonts w:eastAsia="Times New Roman"/>
            <w:bCs/>
            <w:color w:val="auto"/>
            <w:u w:val="none"/>
            <w:lang w:val="en-PH"/>
          </w:rPr>
          <w:t>,</w:t>
        </w:r>
      </w:hyperlink>
      <w:r w:rsidRPr="00387761">
        <w:rPr>
          <w:rFonts w:eastAsia="Times New Roman"/>
          <w:bCs/>
          <w:lang w:val="en-PH"/>
        </w:rPr>
        <w:t> and the </w:t>
      </w:r>
      <w:hyperlink r:id="rId12" w:tgtFrame="_blank" w:history="1">
        <w:r w:rsidRPr="00387761">
          <w:rPr>
            <w:rStyle w:val="Hyperlink"/>
            <w:rFonts w:eastAsia="Times New Roman"/>
            <w:bCs/>
            <w:color w:val="FF6E00"/>
            <w:u w:val="none"/>
            <w:lang w:val="en-PH"/>
          </w:rPr>
          <w:t>President’s Working Group on Digital Assets report</w:t>
        </w:r>
      </w:hyperlink>
      <w:r w:rsidRPr="00387761">
        <w:rPr>
          <w:rFonts w:eastAsia="Times New Roman"/>
          <w:bCs/>
          <w:lang w:val="en-PH"/>
        </w:rPr>
        <w:t>. Commissioner Hester M. Peirce has directed the US SEC CryptoTask Force to advance United States leadership in digital assets and financial technology while safeguarding economic liberty. The roundtable will convene experts developing privacy-preserving technologies and regulators examining policy responses to financial surveillance. The event is open to the public, with registration required for in-person attendance, and will be streamed live on SEC.gov.</w:t>
      </w:r>
    </w:p>
    <w:p w14:paraId="50E22253" w14:textId="77777777" w:rsidR="00387761" w:rsidRPr="00387761" w:rsidRDefault="00387761" w:rsidP="00387761">
      <w:pPr>
        <w:jc w:val="both"/>
        <w:rPr>
          <w:rFonts w:eastAsia="Times New Roman"/>
          <w:bCs/>
          <w:lang w:val="en-PH"/>
        </w:rPr>
      </w:pPr>
      <w:r w:rsidRPr="00387761">
        <w:rPr>
          <w:rFonts w:eastAsia="Times New Roman"/>
          <w:bCs/>
          <w:lang w:val="en-PH"/>
        </w:rPr>
        <w:t>Commissioner Peirce directed the Task Force to: </w:t>
      </w:r>
      <w:r w:rsidRPr="00387761">
        <w:rPr>
          <w:rFonts w:eastAsia="Times New Roman"/>
          <w:bCs/>
          <w:i/>
          <w:iCs/>
          <w:lang w:val="en-PH"/>
        </w:rPr>
        <w:t>“promote United States leadership in digital assets and financial technology while protecting economic liberty.”</w:t>
      </w:r>
      <w:r w:rsidRPr="00387761">
        <w:rPr>
          <w:rFonts w:eastAsia="Times New Roman"/>
          <w:bCs/>
          <w:lang w:val="en-PH"/>
        </w:rPr>
        <w:t> Commissioner Peirce stated: </w:t>
      </w:r>
      <w:r w:rsidRPr="00387761">
        <w:rPr>
          <w:rFonts w:eastAsia="Times New Roman"/>
          <w:bCs/>
          <w:i/>
          <w:iCs/>
          <w:lang w:val="en-PH"/>
        </w:rPr>
        <w:t>“Technology that helps Americans protect their privacy is critically important as it enables people to choose when and with whom to share sensitive data about themselves so they can be protected from bad actors.”</w:t>
      </w:r>
    </w:p>
    <w:p w14:paraId="0E4BB83A" w14:textId="77777777" w:rsidR="00387761" w:rsidRPr="00387761" w:rsidRDefault="00387761" w:rsidP="00387761">
      <w:pPr>
        <w:jc w:val="both"/>
        <w:rPr>
          <w:rFonts w:eastAsia="Times New Roman"/>
          <w:bCs/>
          <w:lang w:val="en-PH"/>
        </w:rPr>
      </w:pPr>
      <w:r w:rsidRPr="00387761">
        <w:rPr>
          <w:rFonts w:eastAsia="Times New Roman"/>
          <w:b/>
          <w:bCs/>
          <w:lang w:val="en-PH"/>
        </w:rPr>
        <w:t>US SEC Roundtable Agenda and Scope</w:t>
      </w:r>
    </w:p>
    <w:p w14:paraId="09E73608" w14:textId="77777777" w:rsidR="00387761" w:rsidRPr="00387761" w:rsidRDefault="00387761" w:rsidP="00387761">
      <w:pPr>
        <w:jc w:val="both"/>
        <w:rPr>
          <w:rFonts w:eastAsia="Times New Roman"/>
          <w:bCs/>
          <w:lang w:val="en-PH"/>
        </w:rPr>
      </w:pPr>
      <w:r w:rsidRPr="00387761">
        <w:rPr>
          <w:rFonts w:eastAsia="Times New Roman"/>
          <w:bCs/>
          <w:lang w:val="en-PH"/>
        </w:rPr>
        <w:t>The Financial Surveillance and Privacy roundtable will feature panel discussions with innovators in privacy-preserving technologies and policymakers assessing surveillance frameworks. The US SEC roundtable will provide a forum for in-depth exploration of recent privacy tools and their implications for crypto markets, financial regulation, and consumer protection.</w:t>
      </w:r>
    </w:p>
    <w:p w14:paraId="061083C9" w14:textId="77777777" w:rsidR="00387761" w:rsidRPr="00387761" w:rsidRDefault="00387761" w:rsidP="00387761">
      <w:pPr>
        <w:jc w:val="both"/>
        <w:rPr>
          <w:rFonts w:eastAsia="Times New Roman"/>
          <w:bCs/>
          <w:lang w:val="en-PH"/>
        </w:rPr>
      </w:pPr>
      <w:r w:rsidRPr="00387761">
        <w:rPr>
          <w:rFonts w:eastAsia="Times New Roman"/>
          <w:b/>
          <w:bCs/>
          <w:lang w:val="en-PH"/>
        </w:rPr>
        <w:t>Commissioner Peirce on Privacy and Economic Liberty</w:t>
      </w:r>
    </w:p>
    <w:p w14:paraId="429C764F" w14:textId="77777777" w:rsidR="00387761" w:rsidRPr="00387761" w:rsidRDefault="00387761" w:rsidP="00387761">
      <w:pPr>
        <w:jc w:val="both"/>
        <w:rPr>
          <w:rFonts w:eastAsia="Times New Roman"/>
          <w:bCs/>
          <w:lang w:val="en-PH"/>
        </w:rPr>
      </w:pPr>
      <w:r w:rsidRPr="00387761">
        <w:rPr>
          <w:rFonts w:eastAsia="Times New Roman"/>
          <w:bCs/>
          <w:lang w:val="en-PH"/>
        </w:rPr>
        <w:t>Commissioner Hester M. Peirce stated that privacy-preserving technology empowers individuals to safeguard sensitive data and avoid exploitation. She added that understanding these technological advances will support the US SEC and other financial regulators in developing sound policy frameworks for the crypto economy.</w:t>
      </w:r>
    </w:p>
    <w:p w14:paraId="077388B3" w14:textId="77777777" w:rsidR="00387761" w:rsidRPr="00387761" w:rsidRDefault="00387761" w:rsidP="00387761">
      <w:pPr>
        <w:jc w:val="both"/>
        <w:rPr>
          <w:rFonts w:eastAsia="Times New Roman"/>
          <w:bCs/>
          <w:lang w:val="en-PH"/>
        </w:rPr>
      </w:pPr>
      <w:r w:rsidRPr="00387761">
        <w:rPr>
          <w:rFonts w:eastAsia="Times New Roman"/>
          <w:b/>
          <w:bCs/>
          <w:lang w:val="en-PH"/>
        </w:rPr>
        <w:t>US SEC Crypto Task Force and Institutional Background</w:t>
      </w:r>
    </w:p>
    <w:p w14:paraId="764FDFE4" w14:textId="77777777" w:rsidR="00387761" w:rsidRPr="00387761" w:rsidRDefault="00387761" w:rsidP="00387761">
      <w:pPr>
        <w:jc w:val="both"/>
        <w:rPr>
          <w:rFonts w:eastAsia="Times New Roman"/>
          <w:bCs/>
          <w:lang w:val="en-PH"/>
        </w:rPr>
      </w:pPr>
      <w:r w:rsidRPr="00387761">
        <w:rPr>
          <w:rFonts w:eastAsia="Times New Roman"/>
          <w:bCs/>
          <w:lang w:val="en-PH"/>
        </w:rPr>
        <w:t>The US SEC, under then-Acting Chairman Mark T. Uyeda, launched the Crypto Task Force on 21 January 2025 to clarify regulatory boundaries, provide pathways to registration, design disclosure standards, and enforce securities laws in the digital asset sector. The Task Force continues to engage the public, offering opportunities for direct communication and meetings on crypto-related regulatory concerns.</w:t>
      </w:r>
    </w:p>
    <w:p w14:paraId="714D15C0" w14:textId="77777777" w:rsidR="00387761" w:rsidRPr="00387761" w:rsidRDefault="00387761" w:rsidP="00387761">
      <w:pPr>
        <w:jc w:val="both"/>
        <w:rPr>
          <w:rFonts w:eastAsia="Times New Roman"/>
          <w:bCs/>
          <w:lang w:val="en-PH"/>
        </w:rPr>
      </w:pPr>
      <w:r w:rsidRPr="00387761">
        <w:rPr>
          <w:rFonts w:eastAsia="Times New Roman"/>
          <w:b/>
          <w:bCs/>
          <w:lang w:val="en-PH"/>
        </w:rPr>
        <w:t>Compliance for Crypto Entities</w:t>
      </w:r>
    </w:p>
    <w:p w14:paraId="3548648E" w14:textId="77777777" w:rsidR="00387761" w:rsidRPr="00387761" w:rsidRDefault="00387761" w:rsidP="00387761">
      <w:pPr>
        <w:jc w:val="both"/>
        <w:rPr>
          <w:rFonts w:eastAsia="Times New Roman"/>
          <w:bCs/>
          <w:lang w:val="en-PH"/>
        </w:rPr>
      </w:pPr>
      <w:r w:rsidRPr="00387761">
        <w:rPr>
          <w:rFonts w:eastAsia="Times New Roman"/>
          <w:bCs/>
          <w:lang w:val="en-PH"/>
        </w:rPr>
        <w:t>For exchanges, custodians, and digital asset service providers, this roundtable signals heightened regulatory attention to privacy and data use in crypto transactions. Entities should anticipate:</w:t>
      </w:r>
    </w:p>
    <w:p w14:paraId="35467487" w14:textId="77777777" w:rsidR="00387761" w:rsidRPr="00387761" w:rsidRDefault="00387761" w:rsidP="00387761">
      <w:pPr>
        <w:numPr>
          <w:ilvl w:val="0"/>
          <w:numId w:val="138"/>
        </w:numPr>
        <w:jc w:val="both"/>
        <w:rPr>
          <w:rFonts w:eastAsia="Times New Roman"/>
          <w:bCs/>
          <w:lang w:val="en-PH"/>
        </w:rPr>
      </w:pPr>
      <w:r w:rsidRPr="00387761">
        <w:rPr>
          <w:rFonts w:eastAsia="Times New Roman"/>
          <w:bCs/>
          <w:lang w:val="en-PH"/>
        </w:rPr>
        <w:lastRenderedPageBreak/>
        <w:t>Closer examination of privacy-enhancing technologies within compliance frameworks.</w:t>
      </w:r>
    </w:p>
    <w:p w14:paraId="6AF129D2" w14:textId="77777777" w:rsidR="00387761" w:rsidRPr="00387761" w:rsidRDefault="00387761" w:rsidP="00387761">
      <w:pPr>
        <w:numPr>
          <w:ilvl w:val="0"/>
          <w:numId w:val="138"/>
        </w:numPr>
        <w:jc w:val="both"/>
        <w:rPr>
          <w:rFonts w:eastAsia="Times New Roman"/>
          <w:bCs/>
          <w:lang w:val="en-PH"/>
        </w:rPr>
      </w:pPr>
      <w:r w:rsidRPr="00387761">
        <w:rPr>
          <w:rFonts w:eastAsia="Times New Roman"/>
          <w:bCs/>
          <w:lang w:val="en-PH"/>
        </w:rPr>
        <w:t>Potential disclosure and reporting standards focused on financial surveillance practices.</w:t>
      </w:r>
    </w:p>
    <w:p w14:paraId="40DE41C5" w14:textId="77777777" w:rsidR="00387761" w:rsidRPr="00387761" w:rsidRDefault="00387761" w:rsidP="00387761">
      <w:pPr>
        <w:numPr>
          <w:ilvl w:val="0"/>
          <w:numId w:val="138"/>
        </w:numPr>
        <w:jc w:val="both"/>
        <w:rPr>
          <w:rFonts w:eastAsia="Times New Roman"/>
          <w:bCs/>
          <w:lang w:val="en-PH"/>
        </w:rPr>
      </w:pPr>
      <w:r w:rsidRPr="00387761">
        <w:rPr>
          <w:rFonts w:eastAsia="Times New Roman"/>
          <w:bCs/>
          <w:lang w:val="en-PH"/>
        </w:rPr>
        <w:t>Expanded dialogue between regulators and industry on balancing investor protection with economic liberty.</w:t>
      </w:r>
    </w:p>
    <w:p w14:paraId="298DEC5F" w14:textId="77777777" w:rsidR="00387761" w:rsidRPr="00387761" w:rsidRDefault="00387761" w:rsidP="00387761">
      <w:pPr>
        <w:jc w:val="both"/>
        <w:rPr>
          <w:rFonts w:eastAsia="Times New Roman"/>
          <w:bCs/>
          <w:lang w:val="en-PH"/>
        </w:rPr>
      </w:pPr>
      <w:r w:rsidRPr="00387761">
        <w:rPr>
          <w:rFonts w:eastAsia="Times New Roman"/>
          <w:b/>
          <w:bCs/>
          <w:lang w:val="en-PH"/>
        </w:rPr>
        <w:t>Geopolitical Regulatory Stance</w:t>
      </w:r>
    </w:p>
    <w:p w14:paraId="44B1CF21" w14:textId="77777777" w:rsidR="00387761" w:rsidRPr="00387761" w:rsidRDefault="00387761" w:rsidP="00387761">
      <w:pPr>
        <w:jc w:val="both"/>
        <w:rPr>
          <w:rFonts w:eastAsia="Times New Roman"/>
          <w:bCs/>
          <w:lang w:val="en-PH"/>
        </w:rPr>
      </w:pPr>
      <w:r w:rsidRPr="00387761">
        <w:rPr>
          <w:rFonts w:eastAsia="Times New Roman"/>
          <w:bCs/>
          <w:lang w:val="en-PH"/>
        </w:rPr>
        <w:t>The US SEC’s focus on financial surveillance and privacy resonates beyond the United States, as cross-border regulatory cooperation increasingly emphasises data protection, anti-money laundering, and investor rights. US SEC shaping global debates on privacy in digital finance, intersects with international efforts, European Union and Asia, regulators are reconciling surveillance powers with privacy rights in decentralised markets.</w:t>
      </w:r>
    </w:p>
    <w:p w14:paraId="3B115E3D" w14:textId="75F5ED2F" w:rsidR="00387761" w:rsidRPr="00387761" w:rsidRDefault="00387761" w:rsidP="00387761">
      <w:pPr>
        <w:jc w:val="both"/>
        <w:rPr>
          <w:rFonts w:eastAsia="Times New Roman"/>
          <w:bCs/>
          <w:lang w:val="en-PH"/>
        </w:rPr>
      </w:pPr>
      <w:r w:rsidRPr="00387761">
        <w:rPr>
          <w:rFonts w:eastAsia="Times New Roman"/>
          <w:bCs/>
          <w:i/>
          <w:iCs/>
          <w:lang w:val="en-PH"/>
        </w:rPr>
        <w:t>“The discussion will be streamed live on SEC.gov, and a recording will be posted at a later date. Information regarding the agenda and roundtable speakers will be posted on the </w:t>
      </w:r>
      <w:hyperlink r:id="rId13" w:tgtFrame="_blank" w:history="1">
        <w:r w:rsidRPr="00387761">
          <w:rPr>
            <w:rStyle w:val="Hyperlink"/>
            <w:rFonts w:eastAsia="Times New Roman"/>
            <w:bCs/>
            <w:i/>
            <w:iCs/>
            <w:color w:val="FF6E00"/>
            <w:u w:val="none"/>
            <w:lang w:val="en-PH"/>
          </w:rPr>
          <w:t>Crypto Task Force webpage</w:t>
        </w:r>
      </w:hyperlink>
      <w:r w:rsidRPr="00387761">
        <w:rPr>
          <w:rFonts w:eastAsia="Times New Roman"/>
          <w:bCs/>
          <w:i/>
          <w:iCs/>
          <w:lang w:val="en-PH"/>
        </w:rPr>
        <w:t> in the coming weeks.”</w:t>
      </w:r>
    </w:p>
    <w:p w14:paraId="24592ECA" w14:textId="77777777" w:rsidR="00387761" w:rsidRPr="00387761" w:rsidRDefault="00387761" w:rsidP="00387761">
      <w:pPr>
        <w:jc w:val="both"/>
        <w:rPr>
          <w:rFonts w:eastAsia="Times New Roman"/>
          <w:bCs/>
          <w:lang w:val="en-PH"/>
        </w:rPr>
      </w:pPr>
      <w:r w:rsidRPr="00387761">
        <w:rPr>
          <w:rFonts w:eastAsia="Times New Roman"/>
          <w:bCs/>
          <w:lang w:val="en-PH"/>
        </w:rPr>
        <w:t>(Source: </w:t>
      </w:r>
      <w:hyperlink r:id="rId14" w:tgtFrame="_blank" w:history="1">
        <w:r w:rsidRPr="00387761">
          <w:rPr>
            <w:rStyle w:val="Hyperlink"/>
            <w:rFonts w:eastAsia="Times New Roman"/>
            <w:bCs/>
            <w:color w:val="FF6E00"/>
            <w:lang w:val="en-PH"/>
          </w:rPr>
          <w:t>https://www.sec.gov/newsroom/press-releases/2025-114-sec-crypto-task-force-host-roundtable-financial-surveillance-privacy</w:t>
        </w:r>
      </w:hyperlink>
      <w:r w:rsidRPr="00387761">
        <w:rPr>
          <w:rFonts w:eastAsia="Times New Roman"/>
          <w:bCs/>
          <w:lang w:val="en-PH"/>
        </w:rPr>
        <w:t>)</w:t>
      </w:r>
    </w:p>
    <w:p w14:paraId="0815857B" w14:textId="77777777" w:rsidR="002C0F01" w:rsidRDefault="002C0F01" w:rsidP="002C0F01">
      <w:pPr>
        <w:jc w:val="both"/>
        <w:rPr>
          <w:rFonts w:eastAsia="Times New Roman"/>
          <w:bCs/>
          <w:lang w:val="en-PH"/>
        </w:rPr>
      </w:pPr>
    </w:p>
    <w:p w14:paraId="09FCB6E1" w14:textId="77777777" w:rsidR="00AF1C2E" w:rsidRPr="00AF1C2E" w:rsidRDefault="00AF1C2E" w:rsidP="00AF1C2E">
      <w:pPr>
        <w:jc w:val="both"/>
        <w:rPr>
          <w:b/>
          <w:bCs/>
          <w:color w:val="FF6E00"/>
          <w:lang w:val="en-PH"/>
        </w:rPr>
      </w:pPr>
      <w:r w:rsidRPr="00AF1C2E">
        <w:rPr>
          <w:b/>
          <w:bCs/>
          <w:color w:val="FF6E00"/>
          <w:lang w:val="en-PH"/>
        </w:rPr>
        <w:t>Hong Kong SFC and ADBI Convene Roundtable on Sustainable Finance Instruments in Asia</w:t>
      </w:r>
    </w:p>
    <w:p w14:paraId="75A17494" w14:textId="77777777" w:rsidR="00AF1C2E" w:rsidRPr="00AF1C2E" w:rsidRDefault="00AF1C2E" w:rsidP="00AF1C2E">
      <w:pPr>
        <w:jc w:val="both"/>
        <w:rPr>
          <w:rFonts w:eastAsia="Times New Roman"/>
          <w:bCs/>
          <w:lang w:val="en-PH"/>
        </w:rPr>
      </w:pPr>
      <w:r w:rsidRPr="00AF1C2E">
        <w:rPr>
          <w:rFonts w:eastAsia="Times New Roman"/>
          <w:bCs/>
          <w:lang w:val="en-PH"/>
        </w:rPr>
        <w:t>On 9 September 2025, the Hong Kong Securities and Futures Commission (</w:t>
      </w:r>
      <w:r w:rsidRPr="00AF1C2E">
        <w:rPr>
          <w:rFonts w:eastAsia="Times New Roman"/>
          <w:b/>
          <w:bCs/>
          <w:lang w:val="en-PH"/>
        </w:rPr>
        <w:t>SFC</w:t>
      </w:r>
      <w:r w:rsidRPr="00AF1C2E">
        <w:rPr>
          <w:rFonts w:eastAsia="Times New Roman"/>
          <w:bCs/>
          <w:lang w:val="en-PH"/>
        </w:rPr>
        <w:t>) and the Asian Development Bank Institute (</w:t>
      </w:r>
      <w:r w:rsidRPr="00AF1C2E">
        <w:rPr>
          <w:rFonts w:eastAsia="Times New Roman"/>
          <w:b/>
          <w:bCs/>
          <w:lang w:val="en-PH"/>
        </w:rPr>
        <w:t>ADBI</w:t>
      </w:r>
      <w:r w:rsidRPr="00AF1C2E">
        <w:rPr>
          <w:rFonts w:eastAsia="Times New Roman"/>
          <w:bCs/>
          <w:lang w:val="en-PH"/>
        </w:rPr>
        <w:t>) </w:t>
      </w:r>
      <w:hyperlink r:id="rId15" w:tgtFrame="_blank" w:history="1">
        <w:r w:rsidRPr="00AF1C2E">
          <w:rPr>
            <w:rStyle w:val="Hyperlink"/>
            <w:rFonts w:eastAsia="Times New Roman"/>
            <w:bCs/>
            <w:color w:val="FF6E00"/>
            <w:u w:val="none"/>
            <w:lang w:val="en-PH"/>
          </w:rPr>
          <w:t>co-hosted a roundtable</w:t>
        </w:r>
      </w:hyperlink>
      <w:r w:rsidRPr="00AF1C2E">
        <w:rPr>
          <w:rFonts w:eastAsia="Times New Roman"/>
          <w:bCs/>
          <w:lang w:val="en-PH"/>
        </w:rPr>
        <w:t> during Hong Kong Green Week to advance sustainable finance in Asia-Pacific markets. Senior officials from twelve jurisdictions participated in the </w:t>
      </w:r>
      <w:hyperlink r:id="rId16" w:tgtFrame="_blank" w:history="1">
        <w:r w:rsidRPr="00AF1C2E">
          <w:rPr>
            <w:rStyle w:val="Hyperlink"/>
            <w:rFonts w:eastAsia="Times New Roman"/>
            <w:bCs/>
            <w:color w:val="FF6E00"/>
            <w:u w:val="none"/>
            <w:lang w:val="en-PH"/>
          </w:rPr>
          <w:t>Asia Climate Finance Dialogue Project</w:t>
        </w:r>
      </w:hyperlink>
      <w:r w:rsidRPr="00AF1C2E">
        <w:rPr>
          <w:rFonts w:eastAsia="Times New Roman"/>
          <w:bCs/>
          <w:lang w:val="en-PH"/>
        </w:rPr>
        <w:t>, reflecting growing regional cooperation on green bonds, blue bonds, and ESG-linked funds. The dialogue brought together representatives from the Asian Development Bank, ADBI, and private sector experts to discuss frameworks for transition finance, climate disclosures, and thematic investment mechanisms. The initiative forms part of ongoing cross-border policy work to scale up sustainable-related thematic instruments and mobilise capital for the low-carbon transition. The session represents the fifth roundtable under the Asian Climate Finance Dialogue Project, signalling momentum in regulatory collaboration across Asia.</w:t>
      </w:r>
    </w:p>
    <w:p w14:paraId="4E025258" w14:textId="77777777" w:rsidR="00AF1C2E" w:rsidRPr="00AF1C2E" w:rsidRDefault="00AF1C2E" w:rsidP="00AF1C2E">
      <w:pPr>
        <w:jc w:val="both"/>
        <w:rPr>
          <w:rFonts w:eastAsia="Times New Roman"/>
          <w:bCs/>
          <w:lang w:val="en-PH"/>
        </w:rPr>
      </w:pPr>
      <w:r w:rsidRPr="00AF1C2E">
        <w:rPr>
          <w:rFonts w:eastAsia="Times New Roman"/>
          <w:bCs/>
          <w:lang w:val="en-PH"/>
        </w:rPr>
        <w:t>In para 1 of the SFC announcement dated 9 September 2025</w:t>
      </w:r>
      <w:r w:rsidRPr="00AF1C2E">
        <w:rPr>
          <w:rFonts w:eastAsia="Times New Roman"/>
          <w:bCs/>
          <w:i/>
          <w:iCs/>
          <w:lang w:val="en-PH"/>
        </w:rPr>
        <w:t>,</w:t>
      </w:r>
      <w:r w:rsidRPr="00AF1C2E">
        <w:rPr>
          <w:rFonts w:eastAsia="Times New Roman"/>
          <w:bCs/>
          <w:lang w:val="en-PH"/>
        </w:rPr>
        <w:t> “sustainable-related thematic instruments” include </w:t>
      </w:r>
      <w:r w:rsidRPr="00AF1C2E">
        <w:rPr>
          <w:rFonts w:eastAsia="Times New Roman"/>
          <w:bCs/>
          <w:i/>
          <w:iCs/>
          <w:lang w:val="en-PH"/>
        </w:rPr>
        <w:t>green bonds, blue bonds, and environmental, social and governance (</w:t>
      </w:r>
      <w:r w:rsidRPr="00AF1C2E">
        <w:rPr>
          <w:rFonts w:eastAsia="Times New Roman"/>
          <w:b/>
          <w:bCs/>
          <w:i/>
          <w:iCs/>
          <w:lang w:val="en-PH"/>
        </w:rPr>
        <w:t>ESG</w:t>
      </w:r>
      <w:r w:rsidRPr="00AF1C2E">
        <w:rPr>
          <w:rFonts w:eastAsia="Times New Roman"/>
          <w:bCs/>
          <w:i/>
          <w:iCs/>
          <w:lang w:val="en-PH"/>
        </w:rPr>
        <w:t>) funds.</w:t>
      </w:r>
    </w:p>
    <w:p w14:paraId="4A1DC81E" w14:textId="77777777" w:rsidR="00AF1C2E" w:rsidRPr="00AF1C2E" w:rsidRDefault="00AF1C2E" w:rsidP="00AF1C2E">
      <w:pPr>
        <w:jc w:val="both"/>
        <w:rPr>
          <w:rFonts w:eastAsia="Times New Roman"/>
          <w:bCs/>
          <w:lang w:val="en-PH"/>
        </w:rPr>
      </w:pPr>
      <w:r w:rsidRPr="00AF1C2E">
        <w:rPr>
          <w:rFonts w:eastAsia="Times New Roman"/>
          <w:bCs/>
          <w:lang w:val="en-PH"/>
        </w:rPr>
        <w:t>In para 2 of the same announcement</w:t>
      </w:r>
      <w:r w:rsidRPr="00AF1C2E">
        <w:rPr>
          <w:rFonts w:eastAsia="Times New Roman"/>
          <w:bCs/>
          <w:i/>
          <w:iCs/>
          <w:lang w:val="en-PH"/>
        </w:rPr>
        <w:t>,</w:t>
      </w:r>
      <w:r w:rsidRPr="00AF1C2E">
        <w:rPr>
          <w:rFonts w:eastAsia="Times New Roman"/>
          <w:bCs/>
          <w:lang w:val="en-PH"/>
        </w:rPr>
        <w:t> “transition finance” is described as </w:t>
      </w:r>
      <w:r w:rsidRPr="00AF1C2E">
        <w:rPr>
          <w:rFonts w:eastAsia="Times New Roman"/>
          <w:bCs/>
          <w:i/>
          <w:iCs/>
          <w:lang w:val="en-PH"/>
        </w:rPr>
        <w:t>frameworks and mechanisms to facilitate the utilisation of these investment instruments as well as the mobilisation of transition finance.</w:t>
      </w:r>
    </w:p>
    <w:p w14:paraId="7393120B" w14:textId="77777777" w:rsidR="00AF1C2E" w:rsidRPr="00AF1C2E" w:rsidRDefault="00AF1C2E" w:rsidP="00AF1C2E">
      <w:pPr>
        <w:jc w:val="both"/>
        <w:rPr>
          <w:rFonts w:eastAsia="Times New Roman"/>
          <w:bCs/>
          <w:lang w:val="en-PH"/>
        </w:rPr>
      </w:pPr>
      <w:r w:rsidRPr="00AF1C2E">
        <w:rPr>
          <w:rFonts w:eastAsia="Times New Roman"/>
          <w:b/>
          <w:bCs/>
          <w:lang w:val="en-PH"/>
        </w:rPr>
        <w:t>Hong Kong SFC and ADBI Emphasise Cross-Jurisdictional Collaboration</w:t>
      </w:r>
    </w:p>
    <w:p w14:paraId="6C282675" w14:textId="77777777" w:rsidR="00AF1C2E" w:rsidRPr="00AF1C2E" w:rsidRDefault="00AF1C2E" w:rsidP="00AF1C2E">
      <w:pPr>
        <w:jc w:val="both"/>
        <w:rPr>
          <w:rFonts w:eastAsia="Times New Roman"/>
          <w:bCs/>
          <w:lang w:val="en-PH"/>
        </w:rPr>
      </w:pPr>
      <w:r w:rsidRPr="00AF1C2E">
        <w:rPr>
          <w:rFonts w:eastAsia="Times New Roman"/>
          <w:bCs/>
          <w:lang w:val="en-PH"/>
        </w:rPr>
        <w:t>The HK SFC in its statement appreciated that the dialogue convened senior officials from </w:t>
      </w:r>
      <w:r w:rsidRPr="00AF1C2E">
        <w:rPr>
          <w:rFonts w:eastAsia="Times New Roman"/>
          <w:b/>
          <w:bCs/>
          <w:lang w:val="en-PH"/>
        </w:rPr>
        <w:t>twelve jurisdictions</w:t>
      </w:r>
      <w:r w:rsidRPr="00AF1C2E">
        <w:rPr>
          <w:rFonts w:eastAsia="Times New Roman"/>
          <w:bCs/>
          <w:lang w:val="en-PH"/>
        </w:rPr>
        <w:t> including India, Japan, Korea, Indonesia, the Philippines, Thailand, Vietnam, and others. This broad participation underscores Hong Kong’s positioning as a hub for sustainable finance policy exchange in the Asia-Pacific region.</w:t>
      </w:r>
    </w:p>
    <w:p w14:paraId="5B583716" w14:textId="77777777" w:rsidR="00AF1C2E" w:rsidRPr="00AF1C2E" w:rsidRDefault="00AF1C2E" w:rsidP="00AF1C2E">
      <w:pPr>
        <w:jc w:val="both"/>
        <w:rPr>
          <w:rFonts w:eastAsia="Times New Roman"/>
          <w:bCs/>
          <w:lang w:val="en-PH"/>
        </w:rPr>
      </w:pPr>
      <w:r w:rsidRPr="00AF1C2E">
        <w:rPr>
          <w:rFonts w:eastAsia="Times New Roman"/>
          <w:b/>
          <w:bCs/>
          <w:lang w:val="en-PH"/>
        </w:rPr>
        <w:t>5</w:t>
      </w:r>
      <w:r w:rsidRPr="00AF1C2E">
        <w:rPr>
          <w:rFonts w:eastAsia="Times New Roman"/>
          <w:b/>
          <w:bCs/>
          <w:vertAlign w:val="superscript"/>
          <w:lang w:val="en-PH"/>
        </w:rPr>
        <w:t>th</w:t>
      </w:r>
      <w:r w:rsidRPr="00AF1C2E">
        <w:rPr>
          <w:rFonts w:eastAsia="Times New Roman"/>
          <w:b/>
          <w:bCs/>
          <w:lang w:val="en-PH"/>
        </w:rPr>
        <w:t> Asian Climate Finance Dialogue Project</w:t>
      </w:r>
    </w:p>
    <w:p w14:paraId="62462613" w14:textId="77777777" w:rsidR="00AF1C2E" w:rsidRPr="00AF1C2E" w:rsidRDefault="00AF1C2E" w:rsidP="00AF1C2E">
      <w:pPr>
        <w:jc w:val="both"/>
        <w:rPr>
          <w:rFonts w:eastAsia="Times New Roman"/>
          <w:bCs/>
          <w:lang w:val="en-PH"/>
        </w:rPr>
      </w:pPr>
      <w:r w:rsidRPr="00AF1C2E">
        <w:rPr>
          <w:rFonts w:eastAsia="Times New Roman"/>
          <w:bCs/>
          <w:lang w:val="en-PH"/>
        </w:rPr>
        <w:lastRenderedPageBreak/>
        <w:t>The event marked the fifth roundtable of the </w:t>
      </w:r>
      <w:r w:rsidRPr="00AF1C2E">
        <w:rPr>
          <w:rFonts w:eastAsia="Times New Roman"/>
          <w:b/>
          <w:bCs/>
          <w:lang w:val="en-PH"/>
        </w:rPr>
        <w:t>Asian Climate Finance Dialogue Project</w:t>
      </w:r>
      <w:r w:rsidRPr="00AF1C2E">
        <w:rPr>
          <w:rFonts w:eastAsia="Times New Roman"/>
          <w:bCs/>
          <w:lang w:val="en-PH"/>
        </w:rPr>
        <w:t>, a joint initiative between the Asian Development Bank Institute and the Asian Development Bank. The project is designed to promote policy actions enhancing climate-related disclosures, fostering innovation in thematic instruments, and mobilising private capital for climate objectives across Asia.</w:t>
      </w:r>
    </w:p>
    <w:p w14:paraId="382F9400" w14:textId="77777777" w:rsidR="00AF1C2E" w:rsidRPr="00AF1C2E" w:rsidRDefault="00AF1C2E" w:rsidP="00AF1C2E">
      <w:pPr>
        <w:jc w:val="both"/>
        <w:rPr>
          <w:rFonts w:eastAsia="Times New Roman"/>
          <w:bCs/>
          <w:lang w:val="en-PH"/>
        </w:rPr>
      </w:pPr>
      <w:r w:rsidRPr="00AF1C2E">
        <w:rPr>
          <w:rFonts w:eastAsia="Times New Roman"/>
          <w:b/>
          <w:bCs/>
          <w:lang w:val="en-PH"/>
        </w:rPr>
        <w:t>Geopolitical and Regional Insights</w:t>
      </w:r>
    </w:p>
    <w:p w14:paraId="7D9F35F3" w14:textId="17ADECCA" w:rsidR="00AF1C2E" w:rsidRPr="00AF1C2E" w:rsidRDefault="00AF1C2E" w:rsidP="00AF1C2E">
      <w:pPr>
        <w:jc w:val="both"/>
        <w:rPr>
          <w:rFonts w:eastAsia="Times New Roman"/>
          <w:bCs/>
          <w:lang w:val="en-PH"/>
        </w:rPr>
      </w:pPr>
      <w:r w:rsidRPr="00AF1C2E">
        <w:rPr>
          <w:rFonts w:eastAsia="Times New Roman"/>
          <w:bCs/>
          <w:lang w:val="en-PH"/>
        </w:rPr>
        <w:t>The roundtable demonstrates Asia’s attempt to develop a cohesive position on sustainable finance as part of the global transition finance agenda. With jurisdictions like India, Japan, and Korea actively participating, the initiative reflects growing regional consensus and provides Hong Kong with strategic visibility in global ESG capital markets.</w:t>
      </w:r>
    </w:p>
    <w:p w14:paraId="5FE5B36C" w14:textId="77777777" w:rsidR="00AF1C2E" w:rsidRPr="00AF1C2E" w:rsidRDefault="00AF1C2E" w:rsidP="00AF1C2E">
      <w:pPr>
        <w:jc w:val="both"/>
        <w:rPr>
          <w:rFonts w:eastAsia="Times New Roman"/>
          <w:bCs/>
          <w:lang w:val="en-PH"/>
        </w:rPr>
      </w:pPr>
      <w:r w:rsidRPr="00AF1C2E">
        <w:rPr>
          <w:rFonts w:eastAsia="Times New Roman"/>
          <w:bCs/>
          <w:lang w:val="en-PH"/>
        </w:rPr>
        <w:t>(Source: </w:t>
      </w:r>
      <w:hyperlink r:id="rId17" w:tgtFrame="_blank" w:history="1">
        <w:r w:rsidRPr="00AF1C2E">
          <w:rPr>
            <w:rStyle w:val="Hyperlink"/>
            <w:rFonts w:eastAsia="Times New Roman"/>
            <w:bCs/>
            <w:color w:val="FF6E00"/>
            <w:lang w:val="en-PH"/>
          </w:rPr>
          <w:t>https://apps.sfc.hk/edistributionWeb/gateway/EN/news-and-announcements/news/doc?refNo=25PR141</w:t>
        </w:r>
      </w:hyperlink>
      <w:r w:rsidRPr="00AF1C2E">
        <w:rPr>
          <w:rFonts w:eastAsia="Times New Roman"/>
          <w:bCs/>
          <w:lang w:val="en-PH"/>
        </w:rPr>
        <w:t>)</w:t>
      </w:r>
    </w:p>
    <w:p w14:paraId="0A64B681" w14:textId="77777777" w:rsidR="00D0113E" w:rsidRDefault="00D0113E" w:rsidP="002C0F01">
      <w:pPr>
        <w:jc w:val="both"/>
        <w:rPr>
          <w:rFonts w:eastAsia="Times New Roman"/>
          <w:bCs/>
          <w:lang w:val="en-PH"/>
        </w:rPr>
      </w:pPr>
    </w:p>
    <w:p w14:paraId="0DC74BB4" w14:textId="77777777" w:rsidR="00823ED7" w:rsidRPr="00823ED7" w:rsidRDefault="00823ED7" w:rsidP="00823ED7">
      <w:pPr>
        <w:jc w:val="both"/>
        <w:rPr>
          <w:b/>
          <w:bCs/>
          <w:color w:val="FF6E00"/>
          <w:lang w:val="en-PH"/>
        </w:rPr>
      </w:pPr>
      <w:r w:rsidRPr="00823ED7">
        <w:rPr>
          <w:b/>
          <w:bCs/>
          <w:color w:val="FF6E00"/>
          <w:lang w:val="en-PH"/>
        </w:rPr>
        <w:t>Hong Kong SFC Fines Instinet Pacific Limited HK$8 Million for Cross Trade Reporting Failures</w:t>
      </w:r>
    </w:p>
    <w:p w14:paraId="1C32BE9A" w14:textId="77777777" w:rsidR="00823ED7" w:rsidRPr="00823ED7" w:rsidRDefault="00823ED7" w:rsidP="00823ED7">
      <w:pPr>
        <w:jc w:val="both"/>
        <w:rPr>
          <w:rFonts w:eastAsia="Times New Roman"/>
          <w:bCs/>
          <w:lang w:val="en-PH"/>
        </w:rPr>
      </w:pPr>
      <w:r w:rsidRPr="00823ED7">
        <w:rPr>
          <w:rFonts w:eastAsia="Times New Roman"/>
          <w:bCs/>
          <w:lang w:val="en-PH"/>
        </w:rPr>
        <w:t>On 8 September 2025, the Hong Kong Securities and Futures Commission (</w:t>
      </w:r>
      <w:r w:rsidRPr="00823ED7">
        <w:rPr>
          <w:rFonts w:eastAsia="Times New Roman"/>
          <w:b/>
          <w:bCs/>
          <w:lang w:val="en-PH"/>
        </w:rPr>
        <w:t>SFC</w:t>
      </w:r>
      <w:r w:rsidRPr="00823ED7">
        <w:rPr>
          <w:rFonts w:eastAsia="Times New Roman"/>
          <w:bCs/>
          <w:lang w:val="en-PH"/>
        </w:rPr>
        <w:t>) announced </w:t>
      </w:r>
      <w:hyperlink r:id="rId18" w:tgtFrame="_blank" w:history="1">
        <w:r w:rsidRPr="00823ED7">
          <w:rPr>
            <w:rStyle w:val="Hyperlink"/>
            <w:rFonts w:eastAsia="Times New Roman"/>
            <w:bCs/>
            <w:color w:val="FF6E00"/>
            <w:u w:val="none"/>
            <w:lang w:val="en-PH"/>
          </w:rPr>
          <w:t>disciplinary action</w:t>
        </w:r>
      </w:hyperlink>
      <w:r w:rsidRPr="00823ED7">
        <w:rPr>
          <w:rFonts w:eastAsia="Times New Roman"/>
          <w:bCs/>
          <w:lang w:val="en-PH"/>
        </w:rPr>
        <w:t> against Instinet Pacific Limited (Instinet) for persistent failures to report cross trades to The Stock Exchange of Hong Kong Limited (</w:t>
      </w:r>
      <w:r w:rsidRPr="00823ED7">
        <w:rPr>
          <w:rFonts w:eastAsia="Times New Roman"/>
          <w:b/>
          <w:bCs/>
          <w:lang w:val="en-PH"/>
        </w:rPr>
        <w:t>SEHK</w:t>
      </w:r>
      <w:r w:rsidRPr="00823ED7">
        <w:rPr>
          <w:rFonts w:eastAsia="Times New Roman"/>
          <w:bCs/>
          <w:lang w:val="en-PH"/>
        </w:rPr>
        <w:t>). The regulator imposed a public reprimand and a fine of HK$8 million under section 194 of the Hong Kong Securities and Futures Ordinance (</w:t>
      </w:r>
      <w:hyperlink r:id="rId19" w:tgtFrame="_blank" w:history="1">
        <w:r w:rsidRPr="00823ED7">
          <w:rPr>
            <w:rStyle w:val="Hyperlink"/>
            <w:rFonts w:eastAsia="Times New Roman"/>
            <w:b/>
            <w:bCs/>
            <w:color w:val="FF6E00"/>
            <w:u w:val="none"/>
            <w:lang w:val="en-PH"/>
          </w:rPr>
          <w:t>HK SFO</w:t>
        </w:r>
      </w:hyperlink>
      <w:r w:rsidRPr="00823ED7">
        <w:rPr>
          <w:rFonts w:eastAsia="Times New Roman"/>
          <w:bCs/>
          <w:lang w:val="en-PH"/>
        </w:rPr>
        <w:t>). The HK SFC investigation revealed that between December 2012 and March 2018, Instinet failed to report 8,817 pairs of cross trades worth approximately HK$25.9 billion. The trades were executed between clients and an affiliated company but not disclosed to the SEHK as required. The HK SFC found that Instinet had no internal policies or procedures to ensure compliance with reporting obligations and conducted no review of its reporting process during the period.</w:t>
      </w:r>
    </w:p>
    <w:p w14:paraId="61C6D9EF" w14:textId="77777777" w:rsidR="00823ED7" w:rsidRPr="00823ED7" w:rsidRDefault="00823ED7" w:rsidP="00823ED7">
      <w:pPr>
        <w:jc w:val="both"/>
        <w:rPr>
          <w:rFonts w:eastAsia="Times New Roman"/>
          <w:bCs/>
          <w:lang w:val="en-PH"/>
        </w:rPr>
      </w:pPr>
      <w:r w:rsidRPr="00823ED7">
        <w:rPr>
          <w:rFonts w:eastAsia="Times New Roman"/>
          <w:bCs/>
          <w:lang w:val="en-PH"/>
        </w:rPr>
        <w:t>In para 1 of the </w:t>
      </w:r>
      <w:hyperlink r:id="rId20" w:tgtFrame="_blank" w:history="1">
        <w:r w:rsidRPr="00823ED7">
          <w:rPr>
            <w:rStyle w:val="Hyperlink"/>
            <w:rFonts w:eastAsia="Times New Roman"/>
            <w:bCs/>
            <w:color w:val="FF6E00"/>
            <w:u w:val="none"/>
            <w:lang w:val="en-PH"/>
          </w:rPr>
          <w:t>Statement of Disciplinary Action</w:t>
        </w:r>
      </w:hyperlink>
      <w:r w:rsidRPr="00823ED7">
        <w:rPr>
          <w:rFonts w:eastAsia="Times New Roman"/>
          <w:bCs/>
          <w:lang w:val="en-PH"/>
        </w:rPr>
        <w:t> (8 September 2025), the HK SFC stated: </w:t>
      </w:r>
      <w:r w:rsidRPr="00823ED7">
        <w:rPr>
          <w:rFonts w:eastAsia="Times New Roman"/>
          <w:bCs/>
          <w:i/>
          <w:iCs/>
          <w:lang w:val="en-PH"/>
        </w:rPr>
        <w:t>“Instinet Pacific Limited (</w:t>
      </w:r>
      <w:r w:rsidRPr="00823ED7">
        <w:rPr>
          <w:rFonts w:eastAsia="Times New Roman"/>
          <w:b/>
          <w:bCs/>
          <w:i/>
          <w:iCs/>
          <w:lang w:val="en-PH"/>
        </w:rPr>
        <w:t>Instinet</w:t>
      </w:r>
      <w:r w:rsidRPr="00823ED7">
        <w:rPr>
          <w:rFonts w:eastAsia="Times New Roman"/>
          <w:bCs/>
          <w:i/>
          <w:iCs/>
          <w:lang w:val="en-PH"/>
        </w:rPr>
        <w:t>) [was fined] HK$8 million pursuant to section 194 of the Securities and Futures Ordinance for failing to comply with, and implement and maintain measures appropriate to ensuring compliance with Rule 526 of the Rules of the Exchange in relation to the reporting of direct business transactions (i.e. cross trades) to The Stock Exchange of Hong Kong Limited (</w:t>
      </w:r>
      <w:r w:rsidRPr="00823ED7">
        <w:rPr>
          <w:rFonts w:eastAsia="Times New Roman"/>
          <w:b/>
          <w:bCs/>
          <w:i/>
          <w:iCs/>
          <w:lang w:val="en-PH"/>
        </w:rPr>
        <w:t>SEHK</w:t>
      </w:r>
      <w:r w:rsidRPr="00823ED7">
        <w:rPr>
          <w:rFonts w:eastAsia="Times New Roman"/>
          <w:bCs/>
          <w:i/>
          <w:iCs/>
          <w:lang w:val="en-PH"/>
        </w:rPr>
        <w:t>) between December 2012 and March 2018.”</w:t>
      </w:r>
    </w:p>
    <w:p w14:paraId="24A38450" w14:textId="77777777" w:rsidR="00823ED7" w:rsidRPr="00823ED7" w:rsidRDefault="00823ED7" w:rsidP="00823ED7">
      <w:pPr>
        <w:jc w:val="both"/>
        <w:rPr>
          <w:rFonts w:eastAsia="Times New Roman"/>
          <w:bCs/>
          <w:lang w:val="en-PH"/>
        </w:rPr>
      </w:pPr>
      <w:r w:rsidRPr="00823ED7">
        <w:rPr>
          <w:rFonts w:eastAsia="Times New Roman"/>
          <w:bCs/>
          <w:lang w:val="en-PH"/>
        </w:rPr>
        <w:t>In para 3 of the Statement, the Code of Conduct requires licensed corporations to: </w:t>
      </w:r>
      <w:r w:rsidRPr="00823ED7">
        <w:rPr>
          <w:rFonts w:eastAsia="Times New Roman"/>
          <w:bCs/>
          <w:i/>
          <w:iCs/>
          <w:lang w:val="en-PH"/>
        </w:rPr>
        <w:t>“act with due skill, care and diligence” (GP 2),</w:t>
      </w:r>
      <w:r w:rsidRPr="00823ED7">
        <w:rPr>
          <w:rFonts w:eastAsia="Times New Roman"/>
          <w:bCs/>
          <w:lang w:val="en-PH"/>
        </w:rPr>
        <w:t> </w:t>
      </w:r>
      <w:r w:rsidRPr="00823ED7">
        <w:rPr>
          <w:rFonts w:eastAsia="Times New Roman"/>
          <w:bCs/>
          <w:i/>
          <w:iCs/>
          <w:lang w:val="en-PH"/>
        </w:rPr>
        <w:t>“comply with all regulatory requirements” (GP 7),</w:t>
      </w:r>
      <w:r w:rsidRPr="00823ED7">
        <w:rPr>
          <w:rFonts w:eastAsia="Times New Roman"/>
          <w:bCs/>
          <w:lang w:val="en-PH"/>
        </w:rPr>
        <w:t> and </w:t>
      </w:r>
      <w:r w:rsidRPr="00823ED7">
        <w:rPr>
          <w:rFonts w:eastAsia="Times New Roman"/>
          <w:bCs/>
          <w:i/>
          <w:iCs/>
          <w:lang w:val="en-PH"/>
        </w:rPr>
        <w:t>“implement and maintain measures appropriate to ensuring compliance with laws, rules, regulations and codes” (paragraph 12.1).</w:t>
      </w:r>
    </w:p>
    <w:p w14:paraId="3017A66A" w14:textId="77777777" w:rsidR="00823ED7" w:rsidRPr="00823ED7" w:rsidRDefault="00823ED7" w:rsidP="00823ED7">
      <w:pPr>
        <w:jc w:val="both"/>
        <w:rPr>
          <w:rFonts w:eastAsia="Times New Roman"/>
          <w:bCs/>
          <w:lang w:val="en-PH"/>
        </w:rPr>
      </w:pPr>
      <w:r w:rsidRPr="00823ED7">
        <w:rPr>
          <w:rFonts w:eastAsia="Times New Roman"/>
          <w:bCs/>
          <w:lang w:val="en-PH"/>
        </w:rPr>
        <w:t>In para 4 of the Statement, Exchange Participants are required to </w:t>
      </w:r>
      <w:r w:rsidRPr="00823ED7">
        <w:rPr>
          <w:rFonts w:eastAsia="Times New Roman"/>
          <w:bCs/>
          <w:i/>
          <w:iCs/>
          <w:lang w:val="en-PH"/>
        </w:rPr>
        <w:t>“input details of cross trades… in the Orion Trading Platform or report such transactions to the SEHK within the prescribed time limits in accordance with Rule 526 of the Rules of the Exchange.”</w:t>
      </w:r>
    </w:p>
    <w:p w14:paraId="1657F093" w14:textId="77777777" w:rsidR="00823ED7" w:rsidRPr="00823ED7" w:rsidRDefault="00823ED7" w:rsidP="00823ED7">
      <w:pPr>
        <w:jc w:val="both"/>
        <w:rPr>
          <w:rFonts w:eastAsia="Times New Roman"/>
          <w:bCs/>
          <w:lang w:val="en-PH"/>
        </w:rPr>
      </w:pPr>
      <w:r w:rsidRPr="00823ED7">
        <w:rPr>
          <w:rFonts w:eastAsia="Times New Roman"/>
          <w:b/>
          <w:bCs/>
          <w:lang w:val="en-PH"/>
        </w:rPr>
        <w:t>Breaches Identified by the SFC</w:t>
      </w:r>
    </w:p>
    <w:p w14:paraId="46B4F67E" w14:textId="77777777" w:rsidR="00823ED7" w:rsidRPr="00823ED7" w:rsidRDefault="00823ED7" w:rsidP="00823ED7">
      <w:pPr>
        <w:jc w:val="both"/>
        <w:rPr>
          <w:rFonts w:eastAsia="Times New Roman"/>
          <w:bCs/>
          <w:lang w:val="en-PH"/>
        </w:rPr>
      </w:pPr>
      <w:r w:rsidRPr="00823ED7">
        <w:rPr>
          <w:rFonts w:eastAsia="Times New Roman"/>
          <w:bCs/>
          <w:lang w:val="en-PH"/>
        </w:rPr>
        <w:t>The HK SFC found that Instinet:</w:t>
      </w:r>
    </w:p>
    <w:p w14:paraId="2761175E" w14:textId="77777777" w:rsidR="00823ED7" w:rsidRPr="00823ED7" w:rsidRDefault="00823ED7" w:rsidP="00823ED7">
      <w:pPr>
        <w:numPr>
          <w:ilvl w:val="0"/>
          <w:numId w:val="139"/>
        </w:numPr>
        <w:jc w:val="both"/>
        <w:rPr>
          <w:rFonts w:eastAsia="Times New Roman"/>
          <w:bCs/>
          <w:lang w:val="en-PH"/>
        </w:rPr>
      </w:pPr>
      <w:r w:rsidRPr="00823ED7">
        <w:rPr>
          <w:rFonts w:eastAsia="Times New Roman"/>
          <w:bCs/>
          <w:lang w:val="en-PH"/>
        </w:rPr>
        <w:t>Failed to report 8,817 pairs of cross trades worth around HK$25.9 billion between its clients and an affiliated company</w:t>
      </w:r>
    </w:p>
    <w:p w14:paraId="52CA3196" w14:textId="77777777" w:rsidR="00823ED7" w:rsidRPr="00823ED7" w:rsidRDefault="00823ED7" w:rsidP="00823ED7">
      <w:pPr>
        <w:numPr>
          <w:ilvl w:val="0"/>
          <w:numId w:val="139"/>
        </w:numPr>
        <w:jc w:val="both"/>
        <w:rPr>
          <w:rFonts w:eastAsia="Times New Roman"/>
          <w:bCs/>
          <w:lang w:val="en-PH"/>
        </w:rPr>
      </w:pPr>
      <w:r w:rsidRPr="00823ED7">
        <w:rPr>
          <w:rFonts w:eastAsia="Times New Roman"/>
          <w:bCs/>
          <w:lang w:val="en-PH"/>
        </w:rPr>
        <w:t>Had no policies or procedures to require, govern, or monitor reporting of cross trades to the SEHK.</w:t>
      </w:r>
    </w:p>
    <w:p w14:paraId="31DD296D" w14:textId="77777777" w:rsidR="00823ED7" w:rsidRPr="00823ED7" w:rsidRDefault="00823ED7" w:rsidP="00823ED7">
      <w:pPr>
        <w:numPr>
          <w:ilvl w:val="0"/>
          <w:numId w:val="139"/>
        </w:numPr>
        <w:jc w:val="both"/>
        <w:rPr>
          <w:rFonts w:eastAsia="Times New Roman"/>
          <w:bCs/>
          <w:lang w:val="en-PH"/>
        </w:rPr>
      </w:pPr>
      <w:r w:rsidRPr="00823ED7">
        <w:rPr>
          <w:rFonts w:eastAsia="Times New Roman"/>
          <w:bCs/>
          <w:lang w:val="en-PH"/>
        </w:rPr>
        <w:lastRenderedPageBreak/>
        <w:t>Did not review its trade reporting process during the relevant period.</w:t>
      </w:r>
    </w:p>
    <w:p w14:paraId="0C8AFD96" w14:textId="77777777" w:rsidR="00823ED7" w:rsidRPr="00823ED7" w:rsidRDefault="00823ED7" w:rsidP="00823ED7">
      <w:pPr>
        <w:numPr>
          <w:ilvl w:val="0"/>
          <w:numId w:val="139"/>
        </w:numPr>
        <w:jc w:val="both"/>
        <w:rPr>
          <w:rFonts w:eastAsia="Times New Roman"/>
          <w:bCs/>
          <w:lang w:val="en-PH"/>
        </w:rPr>
      </w:pPr>
      <w:r w:rsidRPr="00823ED7">
        <w:rPr>
          <w:rFonts w:eastAsia="Times New Roman"/>
          <w:bCs/>
          <w:lang w:val="en-PH"/>
        </w:rPr>
        <w:t>Breached GP 2, GP 7, and paragraph 12.1 of the Code of Conduct.</w:t>
      </w:r>
    </w:p>
    <w:p w14:paraId="4B2F25CE" w14:textId="77777777" w:rsidR="00823ED7" w:rsidRPr="00823ED7" w:rsidRDefault="00823ED7" w:rsidP="00823ED7">
      <w:pPr>
        <w:jc w:val="both"/>
        <w:rPr>
          <w:rFonts w:eastAsia="Times New Roman"/>
          <w:bCs/>
          <w:lang w:val="en-PH"/>
        </w:rPr>
      </w:pPr>
      <w:r w:rsidRPr="00823ED7">
        <w:rPr>
          <w:rFonts w:eastAsia="Times New Roman"/>
          <w:bCs/>
          <w:lang w:val="en-PH"/>
        </w:rPr>
        <w:t>The HK SFC described the reporting failure as </w:t>
      </w:r>
      <w:r w:rsidRPr="00823ED7">
        <w:rPr>
          <w:rFonts w:eastAsia="Times New Roman"/>
          <w:bCs/>
          <w:i/>
          <w:iCs/>
          <w:lang w:val="en-PH"/>
        </w:rPr>
        <w:t>“particularly serious as it lasted for almost five and a half years and affected a large number of transactions.”</w:t>
      </w:r>
    </w:p>
    <w:p w14:paraId="6ACA2028" w14:textId="77777777" w:rsidR="00823ED7" w:rsidRPr="00823ED7" w:rsidRDefault="00823ED7" w:rsidP="00823ED7">
      <w:pPr>
        <w:jc w:val="both"/>
        <w:rPr>
          <w:rFonts w:eastAsia="Times New Roman"/>
          <w:bCs/>
          <w:lang w:val="en-PH"/>
        </w:rPr>
      </w:pPr>
      <w:r w:rsidRPr="00823ED7">
        <w:rPr>
          <w:rFonts w:eastAsia="Times New Roman"/>
          <w:b/>
          <w:bCs/>
          <w:lang w:val="en-PH"/>
        </w:rPr>
        <w:t>Required Compliance for Licensed Corporations</w:t>
      </w:r>
    </w:p>
    <w:p w14:paraId="674093F1" w14:textId="77777777" w:rsidR="00823ED7" w:rsidRPr="00823ED7" w:rsidRDefault="00823ED7" w:rsidP="00823ED7">
      <w:pPr>
        <w:jc w:val="both"/>
        <w:rPr>
          <w:rFonts w:eastAsia="Times New Roman"/>
          <w:bCs/>
          <w:lang w:val="en-PH"/>
        </w:rPr>
      </w:pPr>
      <w:r w:rsidRPr="00823ED7">
        <w:rPr>
          <w:rFonts w:eastAsia="Times New Roman"/>
          <w:bCs/>
          <w:lang w:val="en-PH"/>
        </w:rPr>
        <w:t>This disciplinary action reinforces the regulatory expectation that licensed corporations must establish internal controls to ensure compliance with </w:t>
      </w:r>
      <w:r w:rsidRPr="00823ED7">
        <w:rPr>
          <w:rFonts w:eastAsia="Times New Roman"/>
          <w:b/>
          <w:bCs/>
          <w:lang w:val="en-PH"/>
        </w:rPr>
        <w:t>Rule 526 of the SEHK Rules</w:t>
      </w:r>
      <w:r w:rsidRPr="00823ED7">
        <w:rPr>
          <w:rFonts w:eastAsia="Times New Roman"/>
          <w:bCs/>
          <w:lang w:val="en-PH"/>
        </w:rPr>
        <w:t> and the </w:t>
      </w:r>
      <w:r w:rsidRPr="00823ED7">
        <w:rPr>
          <w:rFonts w:eastAsia="Times New Roman"/>
          <w:b/>
          <w:bCs/>
          <w:lang w:val="en-PH"/>
        </w:rPr>
        <w:t>Code of Conduct</w:t>
      </w:r>
      <w:r w:rsidRPr="00823ED7">
        <w:rPr>
          <w:rFonts w:eastAsia="Times New Roman"/>
          <w:bCs/>
          <w:lang w:val="en-PH"/>
        </w:rPr>
        <w:t>. Firms engaged in cross trades must implement policies for reporting, conduct regular reviews of reporting processes, and maintain robust monitoring systems. Failure to do so exposes firms to sanctions under section 194 of the Securities and Futures Ordinance, including financial penalties and reputational damage.</w:t>
      </w:r>
    </w:p>
    <w:p w14:paraId="337876AB" w14:textId="77777777" w:rsidR="00823ED7" w:rsidRPr="00823ED7" w:rsidRDefault="00823ED7" w:rsidP="00823ED7">
      <w:pPr>
        <w:jc w:val="both"/>
        <w:rPr>
          <w:rFonts w:eastAsia="Times New Roman"/>
          <w:bCs/>
          <w:lang w:val="en-PH"/>
        </w:rPr>
      </w:pPr>
      <w:r w:rsidRPr="00823ED7">
        <w:rPr>
          <w:rFonts w:eastAsia="Times New Roman"/>
          <w:b/>
          <w:bCs/>
          <w:lang w:val="en-PH"/>
        </w:rPr>
        <w:t>Geopolitical and Market Insights</w:t>
      </w:r>
    </w:p>
    <w:p w14:paraId="0EC081F8" w14:textId="750F9630" w:rsidR="00823ED7" w:rsidRPr="00823ED7" w:rsidRDefault="00823ED7" w:rsidP="00823ED7">
      <w:pPr>
        <w:jc w:val="both"/>
        <w:rPr>
          <w:rFonts w:eastAsia="Times New Roman"/>
          <w:bCs/>
          <w:lang w:val="en-PH"/>
        </w:rPr>
      </w:pPr>
      <w:r w:rsidRPr="00823ED7">
        <w:rPr>
          <w:rFonts w:eastAsia="Times New Roman"/>
          <w:bCs/>
          <w:lang w:val="en-PH"/>
        </w:rPr>
        <w:t>Hong Kong continues to assert its role as a leading financial centre by upholding strict market integrity standards. The enforcement action sends a clear message to regional and international participants that Hong Kong regulators will not tolerate prolonged non-compliance in trade reporting. This stance reinforces Hong Kong’s alignment with global best practices in transparency and accountability, particularly critical as cross-border trading volumes in Asia increase.</w:t>
      </w:r>
    </w:p>
    <w:p w14:paraId="0A46B541" w14:textId="77777777" w:rsidR="00823ED7" w:rsidRPr="00823ED7" w:rsidRDefault="00823ED7" w:rsidP="00823ED7">
      <w:pPr>
        <w:jc w:val="both"/>
        <w:rPr>
          <w:rFonts w:eastAsia="Times New Roman"/>
          <w:bCs/>
          <w:lang w:val="en-PH"/>
        </w:rPr>
      </w:pPr>
      <w:r w:rsidRPr="00823ED7">
        <w:rPr>
          <w:rFonts w:eastAsia="Times New Roman"/>
          <w:bCs/>
          <w:lang w:val="en-PH"/>
        </w:rPr>
        <w:t>(Source: </w:t>
      </w:r>
      <w:hyperlink r:id="rId21" w:tgtFrame="_blank" w:history="1">
        <w:r w:rsidRPr="00823ED7">
          <w:rPr>
            <w:rStyle w:val="Hyperlink"/>
            <w:rFonts w:eastAsia="Times New Roman"/>
            <w:bCs/>
            <w:color w:val="FF6E00"/>
            <w:lang w:val="en-PH"/>
          </w:rPr>
          <w:t>https://apps.sfc.hk/edistributionWeb/gateway/EN/news-and-announcements/news/doc?refNo=25PR140</w:t>
        </w:r>
      </w:hyperlink>
      <w:r w:rsidRPr="00823ED7">
        <w:rPr>
          <w:rFonts w:eastAsia="Times New Roman"/>
          <w:bCs/>
          <w:lang w:val="en-PH"/>
        </w:rPr>
        <w:t>)</w:t>
      </w:r>
    </w:p>
    <w:p w14:paraId="2D8EF897" w14:textId="77777777" w:rsidR="00D0113E" w:rsidRDefault="00D0113E" w:rsidP="002C0F01">
      <w:pPr>
        <w:jc w:val="both"/>
        <w:rPr>
          <w:rFonts w:eastAsia="Times New Roman"/>
          <w:bCs/>
          <w:lang w:val="en-PH"/>
        </w:rPr>
      </w:pPr>
    </w:p>
    <w:p w14:paraId="7BEAA00A" w14:textId="77777777" w:rsidR="00E53182" w:rsidRPr="00E53182" w:rsidRDefault="00E53182" w:rsidP="00E53182">
      <w:pPr>
        <w:jc w:val="both"/>
        <w:rPr>
          <w:b/>
          <w:bCs/>
          <w:color w:val="FF6E00"/>
          <w:lang w:val="en-PH"/>
        </w:rPr>
      </w:pPr>
      <w:r w:rsidRPr="00E53182">
        <w:rPr>
          <w:b/>
          <w:bCs/>
          <w:color w:val="FF6E00"/>
          <w:lang w:val="en-PH"/>
        </w:rPr>
        <w:t>United States SEC Forms Cross-Border Task Force to Tackle International Fraud</w:t>
      </w:r>
    </w:p>
    <w:p w14:paraId="70EB093A" w14:textId="77777777" w:rsidR="00E53182" w:rsidRPr="00E53182" w:rsidRDefault="00E53182" w:rsidP="00E53182">
      <w:pPr>
        <w:jc w:val="both"/>
        <w:rPr>
          <w:rFonts w:eastAsia="Times New Roman"/>
          <w:bCs/>
          <w:lang w:val="en-PH"/>
        </w:rPr>
      </w:pPr>
      <w:r w:rsidRPr="00E53182">
        <w:rPr>
          <w:rFonts w:eastAsia="Times New Roman"/>
          <w:bCs/>
          <w:lang w:val="en-PH"/>
        </w:rPr>
        <w:t>On 5 September 2025, the United States Securities and Exchange Commission (</w:t>
      </w:r>
      <w:r w:rsidRPr="00E53182">
        <w:rPr>
          <w:rFonts w:eastAsia="Times New Roman"/>
          <w:b/>
          <w:bCs/>
          <w:lang w:val="en-PH"/>
        </w:rPr>
        <w:t>US SEC</w:t>
      </w:r>
      <w:r w:rsidRPr="00E53182">
        <w:rPr>
          <w:rFonts w:eastAsia="Times New Roman"/>
          <w:bCs/>
          <w:lang w:val="en-PH"/>
        </w:rPr>
        <w:t>) announced the creation of a </w:t>
      </w:r>
      <w:hyperlink r:id="rId22" w:tgtFrame="_blank" w:history="1">
        <w:r w:rsidRPr="00E53182">
          <w:rPr>
            <w:rStyle w:val="Hyperlink"/>
            <w:rFonts w:eastAsia="Times New Roman"/>
            <w:bCs/>
            <w:color w:val="FF6E00"/>
            <w:u w:val="none"/>
            <w:lang w:val="en-PH"/>
          </w:rPr>
          <w:t>Cross-Border Task Force</w:t>
        </w:r>
      </w:hyperlink>
      <w:r w:rsidRPr="00E53182">
        <w:rPr>
          <w:rFonts w:eastAsia="Times New Roman"/>
          <w:bCs/>
          <w:lang w:val="en-PH"/>
        </w:rPr>
        <w:t> within its Division of Enforcement. The task force is established to enhance the SEC’s ability to investigate and prevent fraudulent conduct by foreign-based companies targeting U.S. investors. The US SEC Crypto task force will prioritise investigations into potential violations of U.S. federal securities laws involving overseas issuers, including market manipulation practices such as “pump-and-dump” and “ramp-and-dump” schemes. It will also focus on gatekeepers, particularly auditors and underwriters, that facilitate these companies’ access to U.S. capital markets. The initiative further highlights regulatory concerns around entities from jurisdictions such as China, where state involvement and systemic risks present distinct investor protection challenges. By consolidating investigative resources, the US SEC will deploy all available enforcement tools to safeguard U.S. markets from cross-border fraud.</w:t>
      </w:r>
    </w:p>
    <w:p w14:paraId="03CDEEEF" w14:textId="77777777" w:rsidR="00E53182" w:rsidRPr="00E53182" w:rsidRDefault="00E53182" w:rsidP="00E53182">
      <w:pPr>
        <w:jc w:val="both"/>
        <w:rPr>
          <w:rFonts w:eastAsia="Times New Roman"/>
          <w:bCs/>
          <w:lang w:val="en-PH"/>
        </w:rPr>
      </w:pPr>
      <w:r w:rsidRPr="00E53182">
        <w:rPr>
          <w:rFonts w:eastAsia="Times New Roman"/>
          <w:b/>
          <w:bCs/>
          <w:lang w:val="en-PH"/>
        </w:rPr>
        <w:t>US SEC Statement on the Task Force Mandate</w:t>
      </w:r>
    </w:p>
    <w:p w14:paraId="0E53F9DB" w14:textId="77777777" w:rsidR="00E53182" w:rsidRPr="00E53182" w:rsidRDefault="00E53182" w:rsidP="00E53182">
      <w:pPr>
        <w:jc w:val="both"/>
        <w:rPr>
          <w:rFonts w:eastAsia="Times New Roman"/>
          <w:bCs/>
          <w:lang w:val="en-PH"/>
        </w:rPr>
      </w:pPr>
      <w:r w:rsidRPr="00E53182">
        <w:rPr>
          <w:rFonts w:eastAsia="Times New Roman"/>
          <w:bCs/>
          <w:lang w:val="en-PH"/>
        </w:rPr>
        <w:t>US SEC release (5 September 2025), stated: </w:t>
      </w:r>
      <w:r w:rsidRPr="00E53182">
        <w:rPr>
          <w:rFonts w:eastAsia="Times New Roman"/>
          <w:bCs/>
          <w:i/>
          <w:iCs/>
          <w:lang w:val="en-PH"/>
        </w:rPr>
        <w:t>“The Cross-Border Task Force will focus initially on investigating potential U.S. federal securities law violations related to foreign-based companies, including potential market manipulation, such as ‘pump-and-dump’ and ‘ramp-and-dump’ schemes.”</w:t>
      </w:r>
    </w:p>
    <w:p w14:paraId="46A4EE6C" w14:textId="77777777" w:rsidR="00E53182" w:rsidRPr="00E53182" w:rsidRDefault="00E53182" w:rsidP="00E53182">
      <w:pPr>
        <w:jc w:val="both"/>
        <w:rPr>
          <w:rFonts w:eastAsia="Times New Roman"/>
          <w:bCs/>
          <w:lang w:val="en-PH"/>
        </w:rPr>
      </w:pPr>
      <w:r w:rsidRPr="00E53182">
        <w:rPr>
          <w:rFonts w:eastAsia="Times New Roman"/>
          <w:bCs/>
          <w:lang w:val="en-PH"/>
        </w:rPr>
        <w:lastRenderedPageBreak/>
        <w:t>US SEC Chairman Paul S. Atkins emphasised</w:t>
      </w:r>
      <w:r w:rsidRPr="00E53182">
        <w:rPr>
          <w:rFonts w:eastAsia="Times New Roman"/>
          <w:bCs/>
          <w:i/>
          <w:iCs/>
          <w:lang w:val="en-PH"/>
        </w:rPr>
        <w:t>:</w:t>
      </w:r>
      <w:r w:rsidRPr="00E53182">
        <w:rPr>
          <w:rFonts w:eastAsia="Times New Roman"/>
          <w:bCs/>
          <w:lang w:val="en-PH"/>
        </w:rPr>
        <w:t> </w:t>
      </w:r>
      <w:r w:rsidRPr="00E53182">
        <w:rPr>
          <w:rFonts w:eastAsia="Times New Roman"/>
          <w:bCs/>
          <w:i/>
          <w:iCs/>
          <w:lang w:val="en-PH"/>
        </w:rPr>
        <w:t>“We welcome companies from around the world seeking access to the U.S. capital markets. But we will not tolerate bad actors… that attempt to use international borders to frustrate and avoid U.S. investor protections.”</w:t>
      </w:r>
    </w:p>
    <w:p w14:paraId="405B70FD" w14:textId="77777777" w:rsidR="00E53182" w:rsidRPr="00E53182" w:rsidRDefault="00E53182" w:rsidP="00E53182">
      <w:pPr>
        <w:jc w:val="both"/>
        <w:rPr>
          <w:rFonts w:eastAsia="Times New Roman"/>
          <w:bCs/>
          <w:lang w:val="en-PH"/>
        </w:rPr>
      </w:pPr>
      <w:r w:rsidRPr="00E53182">
        <w:rPr>
          <w:rFonts w:eastAsia="Times New Roman"/>
          <w:bCs/>
          <w:lang w:val="en-PH"/>
        </w:rPr>
        <w:t>Division of Enforcement Director Margaret A. Ryan added: </w:t>
      </w:r>
      <w:r w:rsidRPr="00E53182">
        <w:rPr>
          <w:rFonts w:eastAsia="Times New Roman"/>
          <w:bCs/>
          <w:i/>
          <w:iCs/>
          <w:lang w:val="en-PH"/>
        </w:rPr>
        <w:t>“The Cross-Border Task Force will leverage the Division of Enforcement’s resources and expertise to combat international market manipulation and fraud.”</w:t>
      </w:r>
    </w:p>
    <w:p w14:paraId="0F0A65E4" w14:textId="77777777" w:rsidR="00E53182" w:rsidRPr="00E53182" w:rsidRDefault="00E53182" w:rsidP="00E53182">
      <w:pPr>
        <w:jc w:val="both"/>
        <w:rPr>
          <w:rFonts w:eastAsia="Times New Roman"/>
          <w:bCs/>
          <w:lang w:val="en-PH"/>
        </w:rPr>
      </w:pPr>
      <w:r w:rsidRPr="00E53182">
        <w:rPr>
          <w:rFonts w:eastAsia="Times New Roman"/>
          <w:b/>
          <w:bCs/>
          <w:lang w:val="en-PH"/>
        </w:rPr>
        <w:t>Enforcement Focus on Foreign Issuers and Gatekeepers</w:t>
      </w:r>
    </w:p>
    <w:p w14:paraId="1CF39659" w14:textId="77777777" w:rsidR="00E53182" w:rsidRPr="00E53182" w:rsidRDefault="00E53182" w:rsidP="00E53182">
      <w:pPr>
        <w:jc w:val="both"/>
        <w:rPr>
          <w:rFonts w:eastAsia="Times New Roman"/>
          <w:bCs/>
          <w:lang w:val="en-PH"/>
        </w:rPr>
      </w:pPr>
      <w:r w:rsidRPr="00E53182">
        <w:rPr>
          <w:rFonts w:eastAsia="Times New Roman"/>
          <w:bCs/>
          <w:lang w:val="en-PH"/>
        </w:rPr>
        <w:t>The US SEC stated that the task force will concentrate on overseas issuers accessing U.S. capital markets. This includes scrutiny of gatekeepers such as auditors and underwriters whose roles are critical to investor confidence. The regulator also showed its intent to evaluate entities operating in jurisdictions with limited transparency and heightened risks, naming China as a jurisdiction of concern.</w:t>
      </w:r>
    </w:p>
    <w:p w14:paraId="47DBA8DA" w14:textId="77777777" w:rsidR="00E53182" w:rsidRPr="00E53182" w:rsidRDefault="00E53182" w:rsidP="00E53182">
      <w:pPr>
        <w:jc w:val="both"/>
        <w:rPr>
          <w:rFonts w:eastAsia="Times New Roman"/>
          <w:bCs/>
          <w:lang w:val="en-PH"/>
        </w:rPr>
      </w:pPr>
      <w:r w:rsidRPr="00E53182">
        <w:rPr>
          <w:rFonts w:eastAsia="Times New Roman"/>
          <w:b/>
          <w:bCs/>
          <w:lang w:val="en-PH"/>
        </w:rPr>
        <w:t>U.S. Securities Law Compliance.. mandatory?</w:t>
      </w:r>
    </w:p>
    <w:p w14:paraId="50E988D6" w14:textId="77777777" w:rsidR="00E53182" w:rsidRPr="00E53182" w:rsidRDefault="00E53182" w:rsidP="00E53182">
      <w:pPr>
        <w:jc w:val="both"/>
        <w:rPr>
          <w:rFonts w:eastAsia="Times New Roman"/>
          <w:bCs/>
          <w:lang w:val="en-PH"/>
        </w:rPr>
      </w:pPr>
      <w:r w:rsidRPr="00E53182">
        <w:rPr>
          <w:rFonts w:eastAsia="Times New Roman"/>
          <w:bCs/>
          <w:lang w:val="en-PH"/>
        </w:rPr>
        <w:t>The US SEC Chairman directed staff across other divisions, including Corporation Finance, Examinations, Economic and Risk Analysis, and Trading and Markets, to explore additional measures. These may include new disclosure guidance and potential rule changes designed to provide stronger safeguards for U.S. investors.</w:t>
      </w:r>
    </w:p>
    <w:p w14:paraId="2A336B2F" w14:textId="77777777" w:rsidR="00E53182" w:rsidRPr="00E53182" w:rsidRDefault="00E53182" w:rsidP="00E53182">
      <w:pPr>
        <w:jc w:val="both"/>
        <w:rPr>
          <w:rFonts w:eastAsia="Times New Roman"/>
          <w:bCs/>
          <w:lang w:val="en-PH"/>
        </w:rPr>
      </w:pPr>
      <w:r w:rsidRPr="00E53182">
        <w:rPr>
          <w:rFonts w:eastAsia="Times New Roman"/>
          <w:b/>
          <w:bCs/>
          <w:lang w:val="en-PH"/>
        </w:rPr>
        <w:t>Compliance for Global Market Participants</w:t>
      </w:r>
    </w:p>
    <w:p w14:paraId="11A3C411" w14:textId="77777777" w:rsidR="00E53182" w:rsidRPr="00E53182" w:rsidRDefault="00E53182" w:rsidP="00E53182">
      <w:pPr>
        <w:jc w:val="both"/>
        <w:rPr>
          <w:rFonts w:eastAsia="Times New Roman"/>
          <w:bCs/>
          <w:lang w:val="en-PH"/>
        </w:rPr>
      </w:pPr>
      <w:r w:rsidRPr="00E53182">
        <w:rPr>
          <w:rFonts w:eastAsia="Times New Roman"/>
          <w:bCs/>
          <w:lang w:val="en-PH"/>
        </w:rPr>
        <w:t>The US SEC’s action mandates that cross-border operations will face oversight and under the lens of Task Force. Issuers, intermediaries, and auditors must:</w:t>
      </w:r>
    </w:p>
    <w:p w14:paraId="52A5796C" w14:textId="77777777" w:rsidR="00E53182" w:rsidRPr="00E53182" w:rsidRDefault="00E53182" w:rsidP="00E53182">
      <w:pPr>
        <w:numPr>
          <w:ilvl w:val="0"/>
          <w:numId w:val="140"/>
        </w:numPr>
        <w:jc w:val="both"/>
        <w:rPr>
          <w:rFonts w:eastAsia="Times New Roman"/>
          <w:bCs/>
          <w:lang w:val="en-PH"/>
        </w:rPr>
      </w:pPr>
      <w:r w:rsidRPr="00E53182">
        <w:rPr>
          <w:rFonts w:eastAsia="Times New Roman"/>
          <w:bCs/>
          <w:lang w:val="en-PH"/>
        </w:rPr>
        <w:t>Ensure compliance with U.S. disclosure and reporting standards.</w:t>
      </w:r>
    </w:p>
    <w:p w14:paraId="312FF562" w14:textId="77777777" w:rsidR="00E53182" w:rsidRPr="00E53182" w:rsidRDefault="00E53182" w:rsidP="00E53182">
      <w:pPr>
        <w:numPr>
          <w:ilvl w:val="0"/>
          <w:numId w:val="140"/>
        </w:numPr>
        <w:jc w:val="both"/>
        <w:rPr>
          <w:rFonts w:eastAsia="Times New Roman"/>
          <w:bCs/>
          <w:lang w:val="en-PH"/>
        </w:rPr>
      </w:pPr>
      <w:r w:rsidRPr="00E53182">
        <w:rPr>
          <w:rFonts w:eastAsia="Times New Roman"/>
          <w:bCs/>
          <w:lang w:val="en-PH"/>
        </w:rPr>
        <w:t>Strengthen internal controls and cross-border compliance mechanisms.</w:t>
      </w:r>
    </w:p>
    <w:p w14:paraId="17E57F94" w14:textId="77777777" w:rsidR="00E53182" w:rsidRPr="00E53182" w:rsidRDefault="00E53182" w:rsidP="00E53182">
      <w:pPr>
        <w:numPr>
          <w:ilvl w:val="0"/>
          <w:numId w:val="140"/>
        </w:numPr>
        <w:jc w:val="both"/>
        <w:rPr>
          <w:rFonts w:eastAsia="Times New Roman"/>
          <w:bCs/>
          <w:lang w:val="en-PH"/>
        </w:rPr>
      </w:pPr>
      <w:r w:rsidRPr="00E53182">
        <w:rPr>
          <w:rFonts w:eastAsia="Times New Roman"/>
          <w:bCs/>
          <w:lang w:val="en-PH"/>
        </w:rPr>
        <w:t>Prepare for expanded obligations through additional disclosure or regulatory reforms.</w:t>
      </w:r>
    </w:p>
    <w:p w14:paraId="5A5C1579" w14:textId="77777777" w:rsidR="00E53182" w:rsidRPr="00E53182" w:rsidRDefault="00E53182" w:rsidP="00E53182">
      <w:pPr>
        <w:jc w:val="both"/>
        <w:rPr>
          <w:rFonts w:eastAsia="Times New Roman"/>
          <w:bCs/>
          <w:lang w:val="en-PH"/>
        </w:rPr>
      </w:pPr>
      <w:r w:rsidRPr="00E53182">
        <w:rPr>
          <w:rFonts w:eastAsia="Times New Roman"/>
          <w:b/>
          <w:bCs/>
          <w:lang w:val="en-PH"/>
        </w:rPr>
        <w:t>Geopolitical Implications of US SEC Cross Border Task Force</w:t>
      </w:r>
    </w:p>
    <w:p w14:paraId="19B0B274" w14:textId="77777777" w:rsidR="00E53182" w:rsidRPr="00E53182" w:rsidRDefault="00E53182" w:rsidP="00E53182">
      <w:pPr>
        <w:jc w:val="both"/>
        <w:rPr>
          <w:rFonts w:eastAsia="Times New Roman"/>
          <w:bCs/>
          <w:lang w:val="en-PH"/>
        </w:rPr>
      </w:pPr>
      <w:r w:rsidRPr="00E53182">
        <w:rPr>
          <w:rFonts w:eastAsia="Times New Roman"/>
          <w:bCs/>
          <w:lang w:val="en-PH"/>
        </w:rPr>
        <w:t>Cross-Border Task Force, under US SEC establishes a global compliance requirement to protect investors in an interconnected global market. The explicit reference to China reflects broader geopolitical challenges as U.S. regulators confront risks linked to foreign state-controlled enterprises. The statement of US SEC follows: </w:t>
      </w:r>
      <w:r w:rsidRPr="00E53182">
        <w:rPr>
          <w:rFonts w:eastAsia="Times New Roman"/>
          <w:bCs/>
          <w:i/>
          <w:iCs/>
          <w:lang w:val="en-PH"/>
        </w:rPr>
        <w:t>“In addition, it will examine potential securities law violations related to companies from foreign jurisdictions, such as China, where governmental control and other factors pose unique investor risks.”</w:t>
      </w:r>
    </w:p>
    <w:p w14:paraId="5AF3CF72" w14:textId="101CE2B4" w:rsidR="00E53182" w:rsidRPr="00E53182" w:rsidRDefault="00E53182" w:rsidP="00E53182">
      <w:pPr>
        <w:jc w:val="both"/>
        <w:rPr>
          <w:rFonts w:eastAsia="Times New Roman"/>
          <w:bCs/>
          <w:lang w:val="en-PH"/>
        </w:rPr>
      </w:pPr>
      <w:r w:rsidRPr="00E53182">
        <w:rPr>
          <w:rFonts w:eastAsia="Times New Roman"/>
          <w:bCs/>
          <w:lang w:val="en-PH"/>
        </w:rPr>
        <w:t>For global issuers, the message is clear: participation in U.S. capital markets requires accountability and alignment with U.S. investor protection standards.</w:t>
      </w:r>
    </w:p>
    <w:p w14:paraId="566A362F" w14:textId="77777777" w:rsidR="00E53182" w:rsidRPr="00E53182" w:rsidRDefault="00E53182" w:rsidP="00E53182">
      <w:pPr>
        <w:jc w:val="both"/>
        <w:rPr>
          <w:rFonts w:eastAsia="Times New Roman"/>
          <w:bCs/>
          <w:lang w:val="en-PH"/>
        </w:rPr>
      </w:pPr>
      <w:r w:rsidRPr="00E53182">
        <w:rPr>
          <w:rFonts w:eastAsia="Times New Roman"/>
          <w:bCs/>
          <w:lang w:val="en-PH"/>
        </w:rPr>
        <w:t>(Source: </w:t>
      </w:r>
      <w:hyperlink r:id="rId23" w:tgtFrame="_blank" w:history="1">
        <w:r w:rsidRPr="00E53182">
          <w:rPr>
            <w:rStyle w:val="Hyperlink"/>
            <w:rFonts w:eastAsia="Times New Roman"/>
            <w:bCs/>
            <w:color w:val="FF6E00"/>
            <w:lang w:val="en-PH"/>
          </w:rPr>
          <w:t>https://www.sec.gov/newsroom/press-releases/2025-113-sec-announces-formation-cross-border-task-force-combat-fraud</w:t>
        </w:r>
      </w:hyperlink>
      <w:r w:rsidRPr="00E53182">
        <w:rPr>
          <w:rFonts w:eastAsia="Times New Roman"/>
          <w:bCs/>
          <w:lang w:val="en-PH"/>
        </w:rPr>
        <w:t>)</w:t>
      </w:r>
    </w:p>
    <w:p w14:paraId="41922480" w14:textId="77777777" w:rsidR="00D0113E" w:rsidRDefault="00D0113E" w:rsidP="002C0F01">
      <w:pPr>
        <w:jc w:val="both"/>
        <w:rPr>
          <w:rFonts w:eastAsia="Times New Roman"/>
          <w:bCs/>
          <w:lang w:val="en-PH"/>
        </w:rPr>
      </w:pPr>
    </w:p>
    <w:p w14:paraId="7D0EC376" w14:textId="77777777" w:rsidR="00DB461C" w:rsidRPr="00DB461C" w:rsidRDefault="00DB461C" w:rsidP="00DB461C">
      <w:pPr>
        <w:jc w:val="both"/>
        <w:rPr>
          <w:b/>
          <w:bCs/>
          <w:color w:val="FF6E00"/>
          <w:lang w:val="en-PH"/>
        </w:rPr>
      </w:pPr>
      <w:r w:rsidRPr="00DB461C">
        <w:rPr>
          <w:b/>
          <w:bCs/>
          <w:color w:val="FF6E00"/>
          <w:lang w:val="en-PH"/>
        </w:rPr>
        <w:t>United States SEC and US CFTC Announce Joint Roundtable on Regulatory Harmonisation</w:t>
      </w:r>
    </w:p>
    <w:p w14:paraId="719DBBE5" w14:textId="77777777" w:rsidR="00DB461C" w:rsidRPr="00DB461C" w:rsidRDefault="00DB461C" w:rsidP="00DB461C">
      <w:pPr>
        <w:jc w:val="both"/>
        <w:rPr>
          <w:rFonts w:eastAsia="Times New Roman"/>
          <w:bCs/>
          <w:lang w:val="en-PH"/>
        </w:rPr>
      </w:pPr>
      <w:r w:rsidRPr="00DB461C">
        <w:rPr>
          <w:rFonts w:eastAsia="Times New Roman"/>
          <w:bCs/>
          <w:lang w:val="en-PH"/>
        </w:rPr>
        <w:lastRenderedPageBreak/>
        <w:t>On 5 September 2025, the United States Securities and Exchange Commission (</w:t>
      </w:r>
      <w:r w:rsidRPr="00DB461C">
        <w:rPr>
          <w:rFonts w:eastAsia="Times New Roman"/>
          <w:b/>
          <w:bCs/>
          <w:lang w:val="en-PH"/>
        </w:rPr>
        <w:t>US SEC</w:t>
      </w:r>
      <w:r w:rsidRPr="00DB461C">
        <w:rPr>
          <w:rFonts w:eastAsia="Times New Roman"/>
          <w:bCs/>
          <w:lang w:val="en-PH"/>
        </w:rPr>
        <w:t>) and the Commodity Futures Trading Commission (</w:t>
      </w:r>
      <w:r w:rsidRPr="00DB461C">
        <w:rPr>
          <w:rFonts w:eastAsia="Times New Roman"/>
          <w:b/>
          <w:bCs/>
          <w:lang w:val="en-PH"/>
        </w:rPr>
        <w:t>CFTC</w:t>
      </w:r>
      <w:r w:rsidRPr="00DB461C">
        <w:rPr>
          <w:rFonts w:eastAsia="Times New Roman"/>
          <w:bCs/>
          <w:lang w:val="en-PH"/>
        </w:rPr>
        <w:t>) issued a </w:t>
      </w:r>
      <w:hyperlink r:id="rId24" w:tgtFrame="_blank" w:history="1">
        <w:r w:rsidRPr="00DB461C">
          <w:rPr>
            <w:rStyle w:val="Hyperlink"/>
            <w:rFonts w:eastAsia="Times New Roman"/>
            <w:bCs/>
            <w:color w:val="FF6E00"/>
            <w:u w:val="none"/>
            <w:lang w:val="en-PH"/>
          </w:rPr>
          <w:t>joint statement</w:t>
        </w:r>
      </w:hyperlink>
      <w:r w:rsidRPr="00DB461C">
        <w:rPr>
          <w:rFonts w:eastAsia="Times New Roman"/>
          <w:bCs/>
          <w:lang w:val="en-PH"/>
        </w:rPr>
        <w:t> committing to harmonization of regulatory frameworks. The agencies announced a public roundtable to be held on 29 September 2025 at the US SEC headquarters in Washington, D.C. The statement, delivered by US SEC Chairman Paul S. Atkins and US CFTC Acting Chairman Caroline D. Pham, highlighted a shared vision to align oversight of financial markets, streamline reporting standards, and coordinate innovation exemptions. The agencies emphasised that this step builds on their recent joint staff statement on spot crypto asset products and reflects a broader effort to reduce regulatory fragmentation. The roundtable will address priorities including capital frameworks, data reporting, and venue definitions, and will be webcast live for public access. This marks a significant milestone in cross-agency cooperation aimed at enhancing market efficiency and investor protection.</w:t>
      </w:r>
    </w:p>
    <w:p w14:paraId="4B3E31B5" w14:textId="77777777" w:rsidR="00DB461C" w:rsidRPr="00DB461C" w:rsidRDefault="00DB461C" w:rsidP="00DB461C">
      <w:pPr>
        <w:jc w:val="both"/>
        <w:rPr>
          <w:rFonts w:eastAsia="Times New Roman"/>
          <w:bCs/>
          <w:lang w:val="en-PH"/>
        </w:rPr>
      </w:pPr>
      <w:r w:rsidRPr="00DB461C">
        <w:rPr>
          <w:rFonts w:eastAsia="Times New Roman"/>
          <w:bCs/>
          <w:lang w:val="en-PH"/>
        </w:rPr>
        <w:t>On 3 September 2025, the agencies issued a </w:t>
      </w:r>
      <w:hyperlink r:id="rId25" w:tgtFrame="_blank" w:history="1">
        <w:r w:rsidRPr="00DB461C">
          <w:rPr>
            <w:rStyle w:val="Hyperlink"/>
            <w:rFonts w:eastAsia="Times New Roman"/>
            <w:bCs/>
            <w:color w:val="FF6E00"/>
            <w:u w:val="none"/>
            <w:lang w:val="en-PH"/>
          </w:rPr>
          <w:t>joint staff statement</w:t>
        </w:r>
      </w:hyperlink>
      <w:r w:rsidRPr="00DB461C">
        <w:rPr>
          <w:rFonts w:eastAsia="Times New Roman"/>
          <w:bCs/>
          <w:lang w:val="en-PH"/>
        </w:rPr>
        <w:t> on spot crypto asset products, signalling coordinated regulatory engagement. On 5 September 2025, the agencies issued Joint Statement No. 2025-112, announcing harmonization efforts and scheduling the joint roundtable. On 29 September 2025, US SEC and US CFTC will co-host the public roundtable.</w:t>
      </w:r>
    </w:p>
    <w:p w14:paraId="2C05CDCA" w14:textId="77777777" w:rsidR="00DB461C" w:rsidRPr="00DB461C" w:rsidRDefault="00DB461C" w:rsidP="00DB461C">
      <w:pPr>
        <w:jc w:val="both"/>
        <w:rPr>
          <w:rFonts w:eastAsia="Times New Roman"/>
          <w:bCs/>
          <w:lang w:val="en-PH"/>
        </w:rPr>
      </w:pPr>
      <w:r w:rsidRPr="00DB461C">
        <w:rPr>
          <w:rFonts w:eastAsia="Times New Roman"/>
          <w:bCs/>
          <w:lang w:val="en-PH"/>
        </w:rPr>
        <w:t>This joint statement is more than symbolic. For decades, market participants have navigated overlapping US SEC and US CFTC rules, often leading to duplication, uncertainty, and regulatory gaps. By aligning definitions, reporting, and capital standards, the agencies aim to lower compliance costs while enhancing market stability.</w:t>
      </w:r>
    </w:p>
    <w:p w14:paraId="75B47A79" w14:textId="77777777" w:rsidR="00DB461C" w:rsidRPr="00DB461C" w:rsidRDefault="00DB461C" w:rsidP="00DB461C">
      <w:pPr>
        <w:jc w:val="both"/>
        <w:rPr>
          <w:rFonts w:eastAsia="Times New Roman"/>
          <w:bCs/>
          <w:lang w:val="en-PH"/>
        </w:rPr>
      </w:pPr>
      <w:r w:rsidRPr="00DB461C">
        <w:rPr>
          <w:rFonts w:eastAsia="Times New Roman"/>
          <w:bCs/>
          <w:lang w:val="en-PH"/>
        </w:rPr>
        <w:t>The mention of “</w:t>
      </w:r>
      <w:r w:rsidRPr="00DB461C">
        <w:rPr>
          <w:rFonts w:eastAsia="Times New Roman"/>
          <w:bCs/>
          <w:i/>
          <w:iCs/>
          <w:lang w:val="en-PH"/>
        </w:rPr>
        <w:t>coordinated innovation exemptions</w:t>
      </w:r>
      <w:r w:rsidRPr="00DB461C">
        <w:rPr>
          <w:rFonts w:eastAsia="Times New Roman"/>
          <w:bCs/>
          <w:lang w:val="en-PH"/>
        </w:rPr>
        <w:t>” is particularly notable: it signals a willingness to let new financial and digital products develop under structured, temporary relief instead of immediate enforcement.</w:t>
      </w:r>
    </w:p>
    <w:p w14:paraId="27CB67B9" w14:textId="77777777" w:rsidR="00DB461C" w:rsidRPr="00DB461C" w:rsidRDefault="00DB461C" w:rsidP="00DB461C">
      <w:pPr>
        <w:jc w:val="both"/>
        <w:rPr>
          <w:rFonts w:eastAsia="Times New Roman"/>
          <w:bCs/>
          <w:lang w:val="en-PH"/>
        </w:rPr>
      </w:pPr>
      <w:r w:rsidRPr="00DB461C">
        <w:rPr>
          <w:rFonts w:eastAsia="Times New Roman"/>
          <w:bCs/>
          <w:lang w:val="en-PH"/>
        </w:rPr>
        <w:t>US SEC Chairman Paul S. Atkins and US CFTC Acting Chairman Caroline D. Pham said in their statement stated: </w:t>
      </w:r>
      <w:r w:rsidRPr="00DB461C">
        <w:rPr>
          <w:rFonts w:eastAsia="Times New Roman"/>
          <w:bCs/>
          <w:i/>
          <w:iCs/>
          <w:lang w:val="en-PH"/>
        </w:rPr>
        <w:t>“It is a new day at the SEC and the CFTC, and today we begin a long-awaited journey to provide markets the clarity they deserve. Our respective agencies should consider harmonizing product and venue definitions; streamlining reporting and data standards; aligning capital and margin frameworks; and standing up coordinated innovation exemptions using each agency’s existing exemptive authority.”</w:t>
      </w:r>
    </w:p>
    <w:p w14:paraId="4156F01C" w14:textId="77777777" w:rsidR="00DB461C" w:rsidRPr="00DB461C" w:rsidRDefault="00DB461C" w:rsidP="00DB461C">
      <w:pPr>
        <w:jc w:val="both"/>
        <w:rPr>
          <w:rFonts w:eastAsia="Times New Roman"/>
          <w:bCs/>
          <w:lang w:val="en-PH"/>
        </w:rPr>
      </w:pPr>
      <w:r w:rsidRPr="00DB461C">
        <w:rPr>
          <w:rFonts w:eastAsia="Times New Roman"/>
          <w:b/>
          <w:bCs/>
          <w:lang w:val="en-PH"/>
        </w:rPr>
        <w:t>Regulatory Action and Objectives</w:t>
      </w:r>
    </w:p>
    <w:p w14:paraId="3F463C16" w14:textId="77777777" w:rsidR="00DB461C" w:rsidRPr="00DB461C" w:rsidRDefault="00DB461C" w:rsidP="00DB461C">
      <w:pPr>
        <w:jc w:val="both"/>
        <w:rPr>
          <w:rFonts w:eastAsia="Times New Roman"/>
          <w:bCs/>
          <w:lang w:val="en-PH"/>
        </w:rPr>
      </w:pPr>
      <w:r w:rsidRPr="00DB461C">
        <w:rPr>
          <w:rFonts w:eastAsia="Times New Roman"/>
          <w:bCs/>
          <w:lang w:val="en-PH"/>
        </w:rPr>
        <w:t>The joint statement outlines four areas of potential harmonization:</w:t>
      </w:r>
    </w:p>
    <w:p w14:paraId="047BF0A3" w14:textId="77777777" w:rsidR="00DB461C" w:rsidRPr="00DB461C" w:rsidRDefault="00DB461C" w:rsidP="00DB461C">
      <w:pPr>
        <w:numPr>
          <w:ilvl w:val="0"/>
          <w:numId w:val="141"/>
        </w:numPr>
        <w:jc w:val="both"/>
        <w:rPr>
          <w:rFonts w:eastAsia="Times New Roman"/>
          <w:bCs/>
          <w:lang w:val="en-PH"/>
        </w:rPr>
      </w:pPr>
      <w:r w:rsidRPr="00DB461C">
        <w:rPr>
          <w:rFonts w:eastAsia="Times New Roman"/>
          <w:bCs/>
          <w:i/>
          <w:iCs/>
          <w:lang w:val="en-PH"/>
        </w:rPr>
        <w:t>Product and venue definitions:</w:t>
      </w:r>
      <w:r w:rsidRPr="00DB461C">
        <w:rPr>
          <w:rFonts w:eastAsia="Times New Roman"/>
          <w:bCs/>
          <w:lang w:val="en-PH"/>
        </w:rPr>
        <w:t> ensuring consistent treatment across markets.</w:t>
      </w:r>
    </w:p>
    <w:p w14:paraId="21CB4C1F" w14:textId="77777777" w:rsidR="00DB461C" w:rsidRPr="00DB461C" w:rsidRDefault="00DB461C" w:rsidP="00DB461C">
      <w:pPr>
        <w:numPr>
          <w:ilvl w:val="0"/>
          <w:numId w:val="141"/>
        </w:numPr>
        <w:jc w:val="both"/>
        <w:rPr>
          <w:rFonts w:eastAsia="Times New Roman"/>
          <w:bCs/>
          <w:lang w:val="en-PH"/>
        </w:rPr>
      </w:pPr>
      <w:r w:rsidRPr="00DB461C">
        <w:rPr>
          <w:rFonts w:eastAsia="Times New Roman"/>
          <w:bCs/>
          <w:i/>
          <w:iCs/>
          <w:lang w:val="en-PH"/>
        </w:rPr>
        <w:t>Reporting and data standards:</w:t>
      </w:r>
      <w:r w:rsidRPr="00DB461C">
        <w:rPr>
          <w:rFonts w:eastAsia="Times New Roman"/>
          <w:bCs/>
          <w:lang w:val="en-PH"/>
        </w:rPr>
        <w:t> reducing duplication and enhancing clarity.</w:t>
      </w:r>
    </w:p>
    <w:p w14:paraId="0F340FDD" w14:textId="77777777" w:rsidR="00DB461C" w:rsidRPr="00DB461C" w:rsidRDefault="00DB461C" w:rsidP="00DB461C">
      <w:pPr>
        <w:numPr>
          <w:ilvl w:val="0"/>
          <w:numId w:val="141"/>
        </w:numPr>
        <w:jc w:val="both"/>
        <w:rPr>
          <w:rFonts w:eastAsia="Times New Roman"/>
          <w:bCs/>
          <w:lang w:val="en-PH"/>
        </w:rPr>
      </w:pPr>
      <w:r w:rsidRPr="00DB461C">
        <w:rPr>
          <w:rFonts w:eastAsia="Times New Roman"/>
          <w:bCs/>
          <w:i/>
          <w:iCs/>
          <w:lang w:val="en-PH"/>
        </w:rPr>
        <w:t>Capital and margin frameworks:</w:t>
      </w:r>
      <w:r w:rsidRPr="00DB461C">
        <w:rPr>
          <w:rFonts w:eastAsia="Times New Roman"/>
          <w:bCs/>
          <w:lang w:val="en-PH"/>
        </w:rPr>
        <w:t> aligning risk safeguards for market participants.</w:t>
      </w:r>
    </w:p>
    <w:p w14:paraId="5B515984" w14:textId="77777777" w:rsidR="00DB461C" w:rsidRPr="00DB461C" w:rsidRDefault="00DB461C" w:rsidP="00DB461C">
      <w:pPr>
        <w:numPr>
          <w:ilvl w:val="0"/>
          <w:numId w:val="141"/>
        </w:numPr>
        <w:jc w:val="both"/>
        <w:rPr>
          <w:rFonts w:eastAsia="Times New Roman"/>
          <w:bCs/>
          <w:lang w:val="en-PH"/>
        </w:rPr>
      </w:pPr>
      <w:r w:rsidRPr="00DB461C">
        <w:rPr>
          <w:rFonts w:eastAsia="Times New Roman"/>
          <w:bCs/>
          <w:i/>
          <w:iCs/>
          <w:lang w:val="en-PH"/>
        </w:rPr>
        <w:t>Innovation exemptions:</w:t>
      </w:r>
      <w:r w:rsidRPr="00DB461C">
        <w:rPr>
          <w:rFonts w:eastAsia="Times New Roman"/>
          <w:bCs/>
          <w:lang w:val="en-PH"/>
        </w:rPr>
        <w:t> coordinating the use of exemptive powers to foster new products responsibly.</w:t>
      </w:r>
    </w:p>
    <w:p w14:paraId="771514B1" w14:textId="74EEB593" w:rsidR="00DB461C" w:rsidRPr="00DB461C" w:rsidRDefault="00DB461C" w:rsidP="00DB461C">
      <w:pPr>
        <w:jc w:val="both"/>
        <w:rPr>
          <w:rFonts w:eastAsia="Times New Roman"/>
          <w:bCs/>
          <w:lang w:val="en-PH"/>
        </w:rPr>
      </w:pPr>
      <w:r w:rsidRPr="00DB461C">
        <w:rPr>
          <w:rFonts w:eastAsia="Times New Roman"/>
          <w:bCs/>
          <w:lang w:val="en-PH"/>
        </w:rPr>
        <w:t>The roundtable agenda will be published on the </w:t>
      </w:r>
      <w:hyperlink r:id="rId26" w:tgtFrame="_blank" w:history="1">
        <w:r w:rsidRPr="00DB461C">
          <w:rPr>
            <w:rStyle w:val="Hyperlink"/>
            <w:rFonts w:eastAsia="Times New Roman"/>
            <w:bCs/>
            <w:color w:val="FF6E00"/>
            <w:u w:val="none"/>
            <w:lang w:val="en-PH"/>
          </w:rPr>
          <w:t>US SEC’s event webpage</w:t>
        </w:r>
      </w:hyperlink>
      <w:r w:rsidRPr="00DB461C">
        <w:rPr>
          <w:rFonts w:eastAsia="Times New Roman"/>
          <w:bCs/>
          <w:lang w:val="en-PH"/>
        </w:rPr>
        <w:t> in advance on a later date. </w:t>
      </w:r>
      <w:hyperlink r:id="rId27" w:tgtFrame="_blank" w:history="1">
        <w:r w:rsidRPr="00DB461C">
          <w:rPr>
            <w:rStyle w:val="Hyperlink"/>
            <w:rFonts w:eastAsia="Times New Roman"/>
            <w:bCs/>
            <w:color w:val="FF6E00"/>
            <w:u w:val="none"/>
            <w:lang w:val="en-PH"/>
          </w:rPr>
          <w:t>Please register for in-person attendance</w:t>
        </w:r>
      </w:hyperlink>
      <w:r w:rsidRPr="00DB461C">
        <w:rPr>
          <w:rFonts w:eastAsia="Times New Roman"/>
          <w:bCs/>
          <w:lang w:val="en-PH"/>
        </w:rPr>
        <w:t>. A recording of the roundtable will be posted on the US SEC website.</w:t>
      </w:r>
    </w:p>
    <w:p w14:paraId="7EC7B392" w14:textId="77777777" w:rsidR="00DB461C" w:rsidRPr="00DB461C" w:rsidRDefault="00DB461C" w:rsidP="00DB461C">
      <w:pPr>
        <w:jc w:val="both"/>
        <w:rPr>
          <w:rFonts w:eastAsia="Times New Roman"/>
          <w:bCs/>
          <w:lang w:val="en-PH"/>
        </w:rPr>
      </w:pPr>
      <w:r w:rsidRPr="00DB461C">
        <w:rPr>
          <w:rFonts w:eastAsia="Times New Roman"/>
          <w:bCs/>
          <w:lang w:val="en-PH"/>
        </w:rPr>
        <w:t>(Source: </w:t>
      </w:r>
      <w:hyperlink r:id="rId28" w:history="1">
        <w:r w:rsidRPr="00DB461C">
          <w:rPr>
            <w:rStyle w:val="Hyperlink"/>
            <w:rFonts w:eastAsia="Times New Roman"/>
            <w:bCs/>
            <w:color w:val="FF6E00"/>
            <w:lang w:val="en-PH"/>
          </w:rPr>
          <w:t>https://www.sec.gov/newsroom/press-releases/2025-112-sec-cftc-issue-joint-statement-regulatory-harmonization-efforts-will-co-host-roundtable-sept-29</w:t>
        </w:r>
      </w:hyperlink>
      <w:r w:rsidRPr="00DB461C">
        <w:rPr>
          <w:rFonts w:eastAsia="Times New Roman"/>
          <w:bCs/>
          <w:lang w:val="en-PH"/>
        </w:rPr>
        <w:t>)</w:t>
      </w:r>
    </w:p>
    <w:p w14:paraId="03C8D8DD" w14:textId="77777777" w:rsidR="00D0113E" w:rsidRDefault="00D0113E" w:rsidP="002C0F01">
      <w:pPr>
        <w:jc w:val="both"/>
        <w:rPr>
          <w:rFonts w:eastAsia="Times New Roman"/>
          <w:bCs/>
          <w:lang w:val="en-PH"/>
        </w:rPr>
      </w:pPr>
    </w:p>
    <w:p w14:paraId="23DC7ED7" w14:textId="77777777" w:rsidR="00F516B3" w:rsidRPr="00F516B3" w:rsidRDefault="00F516B3" w:rsidP="00F516B3">
      <w:pPr>
        <w:jc w:val="both"/>
        <w:rPr>
          <w:b/>
          <w:bCs/>
          <w:color w:val="FF6E00"/>
          <w:lang w:val="en-PH"/>
        </w:rPr>
      </w:pPr>
      <w:r w:rsidRPr="00F516B3">
        <w:rPr>
          <w:b/>
          <w:bCs/>
          <w:color w:val="FF6E00"/>
          <w:lang w:val="en-PH"/>
        </w:rPr>
        <w:t>Australia High Court Grants ASIC Special Leave to Appeal Block Earner Licensing Decision</w:t>
      </w:r>
    </w:p>
    <w:p w14:paraId="545A028F" w14:textId="77777777" w:rsidR="00F516B3" w:rsidRPr="00F516B3" w:rsidRDefault="00F516B3" w:rsidP="00F516B3">
      <w:pPr>
        <w:jc w:val="both"/>
        <w:rPr>
          <w:rFonts w:eastAsia="Times New Roman"/>
          <w:bCs/>
          <w:lang w:val="en-PH"/>
        </w:rPr>
      </w:pPr>
      <w:r w:rsidRPr="00F516B3">
        <w:rPr>
          <w:rFonts w:eastAsia="Times New Roman"/>
          <w:bCs/>
          <w:lang w:val="en-PH"/>
        </w:rPr>
        <w:t>On 5 September 2025, the High Court of Australia granted the Australian Securities and Investments Commission (</w:t>
      </w:r>
      <w:r w:rsidRPr="00F516B3">
        <w:rPr>
          <w:rFonts w:eastAsia="Times New Roman"/>
          <w:b/>
          <w:bCs/>
          <w:lang w:val="en-PH"/>
        </w:rPr>
        <w:t>ASIC</w:t>
      </w:r>
      <w:r w:rsidRPr="00F516B3">
        <w:rPr>
          <w:rFonts w:eastAsia="Times New Roman"/>
          <w:bCs/>
          <w:lang w:val="en-PH"/>
        </w:rPr>
        <w:t>) </w:t>
      </w:r>
      <w:hyperlink r:id="rId29" w:tgtFrame="_blank" w:history="1">
        <w:r w:rsidRPr="00F516B3">
          <w:rPr>
            <w:rStyle w:val="Hyperlink"/>
            <w:rFonts w:eastAsia="Times New Roman"/>
            <w:bCs/>
            <w:color w:val="FF6E00"/>
            <w:u w:val="none"/>
            <w:lang w:val="en-PH"/>
          </w:rPr>
          <w:t>special leave to appeal</w:t>
        </w:r>
      </w:hyperlink>
      <w:r w:rsidRPr="00F516B3">
        <w:rPr>
          <w:rFonts w:eastAsia="Times New Roman"/>
          <w:bCs/>
          <w:lang w:val="en-PH"/>
        </w:rPr>
        <w:t> a Full Federal Court decision in the Block Earner case. The lower court had ruled that Block Earner, a digital asset service provider, did not require an Australian Financial Services Licence (</w:t>
      </w:r>
      <w:r w:rsidRPr="00F516B3">
        <w:rPr>
          <w:rFonts w:eastAsia="Times New Roman"/>
          <w:b/>
          <w:bCs/>
          <w:lang w:val="en-PH"/>
        </w:rPr>
        <w:t>AFSL</w:t>
      </w:r>
      <w:r w:rsidRPr="00F516B3">
        <w:rPr>
          <w:rFonts w:eastAsia="Times New Roman"/>
          <w:bCs/>
          <w:lang w:val="en-PH"/>
        </w:rPr>
        <w:t>) to offer its fixed-yield crypto product. ASIC is seeking clarification on the scope of the statutory definition of a financial product, particularly where interest-bearing arrangements and asset-conversion products are involved. The outcome of this appeal will affect not only digital asset offerings but also the broader financial services regime in Australia, as the definition of financial product is drafted to be both broad and technology-neutral. The appeal, conditional upon ASIC covering Block Earner’s costs, is expected to set a critical precedent for crypto and traditional finance alike.</w:t>
      </w:r>
    </w:p>
    <w:p w14:paraId="1C210E27" w14:textId="77777777" w:rsidR="00F516B3" w:rsidRPr="00F516B3" w:rsidRDefault="00F516B3" w:rsidP="00F516B3">
      <w:pPr>
        <w:jc w:val="both"/>
        <w:rPr>
          <w:rFonts w:eastAsia="Times New Roman"/>
          <w:bCs/>
          <w:lang w:val="en-PH"/>
        </w:rPr>
      </w:pPr>
      <w:r w:rsidRPr="00F516B3">
        <w:rPr>
          <w:rFonts w:eastAsia="Times New Roman"/>
          <w:bCs/>
          <w:i/>
          <w:iCs/>
          <w:lang w:val="en-PH"/>
        </w:rPr>
        <w:t>“The High Court has granted ASIC special leave to appeal a Full Federal Court decision, which found that digital asset service provider, Block Earner, did not need a financial services licence to offer a fixed-yield digital asset-related product.”</w:t>
      </w:r>
    </w:p>
    <w:p w14:paraId="3B28BEB7" w14:textId="77777777" w:rsidR="00F516B3" w:rsidRPr="00F516B3" w:rsidRDefault="00F516B3" w:rsidP="00F516B3">
      <w:pPr>
        <w:jc w:val="both"/>
        <w:rPr>
          <w:rFonts w:eastAsia="Times New Roman"/>
          <w:bCs/>
          <w:lang w:val="en-PH"/>
        </w:rPr>
      </w:pPr>
      <w:r w:rsidRPr="00F516B3">
        <w:rPr>
          <w:rFonts w:eastAsia="Times New Roman"/>
          <w:bCs/>
          <w:i/>
          <w:iCs/>
          <w:lang w:val="en-PH"/>
        </w:rPr>
        <w:t>“ASIC’s appeal seeks the High Court’s ruling on what falls within the definition of a financial product, as well as clarifying when interest-earning products and products involving the conversion of assets from one form into another are regulated.”</w:t>
      </w:r>
    </w:p>
    <w:p w14:paraId="25295670" w14:textId="77777777" w:rsidR="00F516B3" w:rsidRPr="00F516B3" w:rsidRDefault="00F516B3" w:rsidP="00F516B3">
      <w:pPr>
        <w:jc w:val="both"/>
        <w:rPr>
          <w:rFonts w:eastAsia="Times New Roman"/>
          <w:bCs/>
          <w:lang w:val="en-PH"/>
        </w:rPr>
      </w:pPr>
      <w:r w:rsidRPr="00F516B3">
        <w:rPr>
          <w:rFonts w:eastAsia="Times New Roman"/>
          <w:b/>
          <w:bCs/>
          <w:lang w:val="en-PH"/>
        </w:rPr>
        <w:t>Chronological Background</w:t>
      </w:r>
    </w:p>
    <w:p w14:paraId="3DE5C601" w14:textId="77777777" w:rsidR="00F516B3" w:rsidRPr="00F516B3" w:rsidRDefault="00F516B3" w:rsidP="00F516B3">
      <w:pPr>
        <w:numPr>
          <w:ilvl w:val="0"/>
          <w:numId w:val="142"/>
        </w:numPr>
        <w:jc w:val="both"/>
        <w:rPr>
          <w:rFonts w:eastAsia="Times New Roman"/>
          <w:bCs/>
          <w:lang w:val="en-PH"/>
        </w:rPr>
      </w:pPr>
      <w:r w:rsidRPr="00F516B3">
        <w:rPr>
          <w:rFonts w:eastAsia="Times New Roman"/>
          <w:b/>
          <w:bCs/>
          <w:lang w:val="en-PH"/>
        </w:rPr>
        <w:t>23 November 2023</w:t>
      </w:r>
      <w:r w:rsidRPr="00F516B3">
        <w:rPr>
          <w:rFonts w:eastAsia="Times New Roman"/>
          <w:bCs/>
          <w:lang w:val="en-PH"/>
        </w:rPr>
        <w:t>: ASIC filed civil penalty proceedings, alleging unlicensed services and operation of an unregistered scheme.</w:t>
      </w:r>
    </w:p>
    <w:p w14:paraId="32E9DA7F" w14:textId="77777777" w:rsidR="00F516B3" w:rsidRPr="00F516B3" w:rsidRDefault="00F516B3" w:rsidP="00F516B3">
      <w:pPr>
        <w:numPr>
          <w:ilvl w:val="0"/>
          <w:numId w:val="142"/>
        </w:numPr>
        <w:jc w:val="both"/>
        <w:rPr>
          <w:rFonts w:eastAsia="Times New Roman"/>
          <w:bCs/>
          <w:lang w:val="en-PH"/>
        </w:rPr>
      </w:pPr>
      <w:r w:rsidRPr="00F516B3">
        <w:rPr>
          <w:rFonts w:eastAsia="Times New Roman"/>
          <w:b/>
          <w:bCs/>
          <w:lang w:val="en-PH"/>
        </w:rPr>
        <w:t>9 February 2024</w:t>
      </w:r>
      <w:r w:rsidRPr="00F516B3">
        <w:rPr>
          <w:rFonts w:eastAsia="Times New Roman"/>
          <w:bCs/>
          <w:lang w:val="en-PH"/>
        </w:rPr>
        <w:t>: Federal Court held Block Earner provided unlicensed financial services through its Earner product.</w:t>
      </w:r>
    </w:p>
    <w:p w14:paraId="50701493" w14:textId="77777777" w:rsidR="00F516B3" w:rsidRPr="00F516B3" w:rsidRDefault="00F516B3" w:rsidP="00F516B3">
      <w:pPr>
        <w:numPr>
          <w:ilvl w:val="0"/>
          <w:numId w:val="142"/>
        </w:numPr>
        <w:jc w:val="both"/>
        <w:rPr>
          <w:rFonts w:eastAsia="Times New Roman"/>
          <w:bCs/>
          <w:lang w:val="en-PH"/>
        </w:rPr>
      </w:pPr>
      <w:r w:rsidRPr="00F516B3">
        <w:rPr>
          <w:rFonts w:eastAsia="Times New Roman"/>
          <w:b/>
          <w:bCs/>
          <w:lang w:val="en-PH"/>
        </w:rPr>
        <w:t>4 June 2024</w:t>
      </w:r>
      <w:r w:rsidRPr="00F516B3">
        <w:rPr>
          <w:rFonts w:eastAsia="Times New Roman"/>
          <w:bCs/>
          <w:lang w:val="en-PH"/>
        </w:rPr>
        <w:t>: Court relieved Block Earner from paying a penalty; ASIC appealed.</w:t>
      </w:r>
    </w:p>
    <w:p w14:paraId="76D22E74" w14:textId="77777777" w:rsidR="00F516B3" w:rsidRPr="00F516B3" w:rsidRDefault="00F516B3" w:rsidP="00F516B3">
      <w:pPr>
        <w:numPr>
          <w:ilvl w:val="0"/>
          <w:numId w:val="142"/>
        </w:numPr>
        <w:jc w:val="both"/>
        <w:rPr>
          <w:rFonts w:eastAsia="Times New Roman"/>
          <w:bCs/>
          <w:lang w:val="en-PH"/>
        </w:rPr>
      </w:pPr>
      <w:r w:rsidRPr="00F516B3">
        <w:rPr>
          <w:rFonts w:eastAsia="Times New Roman"/>
          <w:b/>
          <w:bCs/>
          <w:lang w:val="en-PH"/>
        </w:rPr>
        <w:t>9 July 2024</w:t>
      </w:r>
      <w:r w:rsidRPr="00F516B3">
        <w:rPr>
          <w:rFonts w:eastAsia="Times New Roman"/>
          <w:bCs/>
          <w:lang w:val="en-PH"/>
        </w:rPr>
        <w:t>: Block Earner cross-appealed against the licensing requirement.</w:t>
      </w:r>
    </w:p>
    <w:p w14:paraId="784D1D49" w14:textId="77777777" w:rsidR="00F516B3" w:rsidRPr="00F516B3" w:rsidRDefault="00F516B3" w:rsidP="00F516B3">
      <w:pPr>
        <w:numPr>
          <w:ilvl w:val="0"/>
          <w:numId w:val="142"/>
        </w:numPr>
        <w:jc w:val="both"/>
        <w:rPr>
          <w:rFonts w:eastAsia="Times New Roman"/>
          <w:bCs/>
          <w:lang w:val="en-PH"/>
        </w:rPr>
      </w:pPr>
      <w:r w:rsidRPr="00F516B3">
        <w:rPr>
          <w:rFonts w:eastAsia="Times New Roman"/>
          <w:b/>
          <w:bCs/>
          <w:lang w:val="en-PH"/>
        </w:rPr>
        <w:t>22 April 2025</w:t>
      </w:r>
      <w:r w:rsidRPr="00F516B3">
        <w:rPr>
          <w:rFonts w:eastAsia="Times New Roman"/>
          <w:bCs/>
          <w:lang w:val="en-PH"/>
        </w:rPr>
        <w:t>: Full Federal Court dismissed ASIC’s appeal and allowed Block Earner’s cross-appeal.</w:t>
      </w:r>
    </w:p>
    <w:p w14:paraId="4169712E" w14:textId="77777777" w:rsidR="00F516B3" w:rsidRPr="00F516B3" w:rsidRDefault="00F516B3" w:rsidP="00F516B3">
      <w:pPr>
        <w:numPr>
          <w:ilvl w:val="0"/>
          <w:numId w:val="142"/>
        </w:numPr>
        <w:jc w:val="both"/>
        <w:rPr>
          <w:rFonts w:eastAsia="Times New Roman"/>
          <w:bCs/>
          <w:lang w:val="en-PH"/>
        </w:rPr>
      </w:pPr>
      <w:r w:rsidRPr="00F516B3">
        <w:rPr>
          <w:rFonts w:eastAsia="Times New Roman"/>
          <w:b/>
          <w:bCs/>
          <w:lang w:val="en-PH"/>
        </w:rPr>
        <w:t>21 May 2025</w:t>
      </w:r>
      <w:r w:rsidRPr="00F516B3">
        <w:rPr>
          <w:rFonts w:eastAsia="Times New Roman"/>
          <w:bCs/>
          <w:lang w:val="en-PH"/>
        </w:rPr>
        <w:t>: ASIC sought special leave to appeal to the High Court.</w:t>
      </w:r>
    </w:p>
    <w:p w14:paraId="0527CEB3" w14:textId="77777777" w:rsidR="00F516B3" w:rsidRPr="00F516B3" w:rsidRDefault="00F516B3" w:rsidP="00F516B3">
      <w:pPr>
        <w:numPr>
          <w:ilvl w:val="0"/>
          <w:numId w:val="142"/>
        </w:numPr>
        <w:jc w:val="both"/>
        <w:rPr>
          <w:rFonts w:eastAsia="Times New Roman"/>
          <w:bCs/>
          <w:lang w:val="en-PH"/>
        </w:rPr>
      </w:pPr>
      <w:r w:rsidRPr="00F516B3">
        <w:rPr>
          <w:rFonts w:eastAsia="Times New Roman"/>
          <w:b/>
          <w:bCs/>
          <w:lang w:val="en-PH"/>
        </w:rPr>
        <w:t>5 September 2025</w:t>
      </w:r>
      <w:r w:rsidRPr="00F516B3">
        <w:rPr>
          <w:rFonts w:eastAsia="Times New Roman"/>
          <w:bCs/>
          <w:lang w:val="en-PH"/>
        </w:rPr>
        <w:t>: High Court granted ASIC special leave, with costs condition.</w:t>
      </w:r>
    </w:p>
    <w:p w14:paraId="63316C76" w14:textId="77777777" w:rsidR="00F516B3" w:rsidRPr="00F516B3" w:rsidRDefault="00F516B3" w:rsidP="00F516B3">
      <w:pPr>
        <w:jc w:val="both"/>
        <w:rPr>
          <w:rFonts w:eastAsia="Times New Roman"/>
          <w:bCs/>
          <w:lang w:val="en-PH"/>
        </w:rPr>
      </w:pPr>
      <w:r w:rsidRPr="00F516B3">
        <w:rPr>
          <w:rFonts w:eastAsia="Times New Roman"/>
          <w:b/>
          <w:bCs/>
          <w:lang w:val="en-PH"/>
        </w:rPr>
        <w:t>Regulatory Action and Objective</w:t>
      </w:r>
    </w:p>
    <w:p w14:paraId="7A1AD6FC" w14:textId="77777777" w:rsidR="00F516B3" w:rsidRPr="00F516B3" w:rsidRDefault="00F516B3" w:rsidP="00F516B3">
      <w:pPr>
        <w:jc w:val="both"/>
        <w:rPr>
          <w:rFonts w:eastAsia="Times New Roman"/>
          <w:bCs/>
          <w:lang w:val="en-PH"/>
        </w:rPr>
      </w:pPr>
      <w:r w:rsidRPr="00F516B3">
        <w:rPr>
          <w:rFonts w:eastAsia="Times New Roman"/>
          <w:bCs/>
          <w:lang w:val="en-PH"/>
        </w:rPr>
        <w:t>ASIC is pursuing clarification of the definition of “financial product” under Australian law, which was designed to be technology-neutral. Its position is that interest-yielding and asset-conversion products should be regulated, whether or not they involve digital assets.</w:t>
      </w:r>
    </w:p>
    <w:p w14:paraId="72B685DE" w14:textId="77777777" w:rsidR="00F516B3" w:rsidRPr="00F516B3" w:rsidRDefault="00F516B3" w:rsidP="00F516B3">
      <w:pPr>
        <w:jc w:val="both"/>
        <w:rPr>
          <w:rFonts w:eastAsia="Times New Roman"/>
          <w:bCs/>
          <w:lang w:val="en-PH"/>
        </w:rPr>
      </w:pPr>
      <w:r w:rsidRPr="00F516B3">
        <w:rPr>
          <w:rFonts w:eastAsia="Times New Roman"/>
          <w:bCs/>
          <w:lang w:val="en-PH"/>
        </w:rPr>
        <w:t>This clarification is significant, as it extends beyond crypto into the mainstream financial system, shaping obligations for both innovators and traditional service providers.</w:t>
      </w:r>
    </w:p>
    <w:p w14:paraId="5F3A8D75" w14:textId="77777777" w:rsidR="00F516B3" w:rsidRPr="00F516B3" w:rsidRDefault="00F516B3" w:rsidP="00F516B3">
      <w:pPr>
        <w:jc w:val="both"/>
        <w:rPr>
          <w:rFonts w:eastAsia="Times New Roman"/>
          <w:bCs/>
          <w:lang w:val="en-PH"/>
        </w:rPr>
      </w:pPr>
      <w:r w:rsidRPr="00F516B3">
        <w:rPr>
          <w:rFonts w:eastAsia="Times New Roman"/>
          <w:bCs/>
          <w:lang w:val="en-PH"/>
        </w:rPr>
        <w:t>The High Court’s acceptance of ASIC’s appeal transforms this into a landmark case. The question is whether crypto yield products like Block Earner’s “Earner” are regulated financial products, requiring licensing and compliance, or whether they can operate outside traditional regulatory boundaries.</w:t>
      </w:r>
    </w:p>
    <w:p w14:paraId="2C50B328" w14:textId="3E794520" w:rsidR="00F516B3" w:rsidRPr="00F516B3" w:rsidRDefault="00F516B3" w:rsidP="00F516B3">
      <w:pPr>
        <w:jc w:val="both"/>
        <w:rPr>
          <w:rFonts w:eastAsia="Times New Roman"/>
          <w:bCs/>
          <w:lang w:val="en-PH"/>
        </w:rPr>
      </w:pPr>
      <w:r w:rsidRPr="00F516B3">
        <w:rPr>
          <w:rFonts w:eastAsia="Times New Roman"/>
          <w:bCs/>
          <w:lang w:val="en-PH"/>
        </w:rPr>
        <w:lastRenderedPageBreak/>
        <w:t>If the High Court rules in ASIC’s favour, it will expand the reach of AFSL requirements and bring more digital asset products within Australia’s regulated perimeter. If Block Earner prevails, it could cement a significant gap in regulatory coverage, leaving certain yield-based digital products outside ASIC’s direct control.</w:t>
      </w:r>
    </w:p>
    <w:p w14:paraId="2EF5CC0A" w14:textId="77777777" w:rsidR="00F516B3" w:rsidRPr="00F516B3" w:rsidRDefault="00F516B3" w:rsidP="00F516B3">
      <w:pPr>
        <w:jc w:val="both"/>
        <w:rPr>
          <w:rFonts w:eastAsia="Times New Roman"/>
          <w:bCs/>
          <w:lang w:val="en-PH"/>
        </w:rPr>
      </w:pPr>
      <w:r w:rsidRPr="00F516B3">
        <w:rPr>
          <w:rFonts w:eastAsia="Times New Roman"/>
          <w:bCs/>
          <w:lang w:val="en-PH"/>
        </w:rPr>
        <w:t>(Source: </w:t>
      </w:r>
      <w:hyperlink r:id="rId30" w:tgtFrame="_blank" w:history="1">
        <w:r w:rsidRPr="00F516B3">
          <w:rPr>
            <w:rStyle w:val="Hyperlink"/>
            <w:rFonts w:eastAsia="Times New Roman"/>
            <w:bCs/>
            <w:color w:val="FF6E00"/>
            <w:lang w:val="en-PH"/>
          </w:rPr>
          <w:t>https://www.asic.gov.au/about-asic/news-centre/find-a-media-release/2025-releases/25-194mr-high-court-grants-asic-special-leave-to-appeal-block-earner-decision/</w:t>
        </w:r>
      </w:hyperlink>
      <w:r w:rsidRPr="00F516B3">
        <w:rPr>
          <w:rFonts w:eastAsia="Times New Roman"/>
          <w:bCs/>
          <w:lang w:val="en-PH"/>
        </w:rPr>
        <w:t>)</w:t>
      </w:r>
    </w:p>
    <w:p w14:paraId="2FB2227E" w14:textId="77777777" w:rsidR="00D0113E" w:rsidRDefault="00D0113E" w:rsidP="002C0F01">
      <w:pPr>
        <w:jc w:val="both"/>
        <w:rPr>
          <w:rFonts w:eastAsia="Times New Roman"/>
          <w:bCs/>
          <w:lang w:val="en-PH"/>
        </w:rPr>
      </w:pPr>
    </w:p>
    <w:p w14:paraId="4238137E" w14:textId="77777777" w:rsidR="00E57A10" w:rsidRPr="00E57A10" w:rsidRDefault="00E57A10" w:rsidP="00E57A10">
      <w:pPr>
        <w:jc w:val="both"/>
        <w:rPr>
          <w:b/>
          <w:bCs/>
          <w:color w:val="FF6E00"/>
          <w:lang w:val="en-PH"/>
        </w:rPr>
      </w:pPr>
      <w:r w:rsidRPr="00E57A10">
        <w:rPr>
          <w:b/>
          <w:bCs/>
          <w:color w:val="FF6E00"/>
          <w:lang w:val="en-PH"/>
        </w:rPr>
        <w:t>Australia ASIC Signs MoU with India IFSCA to Strengthen Financial Services Cooperation</w:t>
      </w:r>
    </w:p>
    <w:p w14:paraId="49F4BEC1" w14:textId="77777777" w:rsidR="00E57A10" w:rsidRPr="00E57A10" w:rsidRDefault="00E57A10" w:rsidP="00E57A10">
      <w:pPr>
        <w:jc w:val="both"/>
        <w:rPr>
          <w:rFonts w:eastAsia="Times New Roman"/>
          <w:bCs/>
          <w:lang w:val="en-PH"/>
        </w:rPr>
      </w:pPr>
      <w:r w:rsidRPr="00E57A10">
        <w:rPr>
          <w:rFonts w:eastAsia="Times New Roman"/>
          <w:bCs/>
          <w:lang w:val="en-PH"/>
        </w:rPr>
        <w:t>On 4 September 2025, the Australian Securities and Investments Commission (</w:t>
      </w:r>
      <w:r w:rsidRPr="00E57A10">
        <w:rPr>
          <w:rFonts w:eastAsia="Times New Roman"/>
          <w:b/>
          <w:bCs/>
          <w:lang w:val="en-PH"/>
        </w:rPr>
        <w:t>ASIC</w:t>
      </w:r>
      <w:r w:rsidRPr="00E57A10">
        <w:rPr>
          <w:rFonts w:eastAsia="Times New Roman"/>
          <w:bCs/>
          <w:lang w:val="en-PH"/>
        </w:rPr>
        <w:t>) signed a Memorandum of Understanding (</w:t>
      </w:r>
      <w:hyperlink r:id="rId31" w:tgtFrame="_blank" w:history="1">
        <w:r w:rsidRPr="00E57A10">
          <w:rPr>
            <w:rStyle w:val="Hyperlink"/>
            <w:rFonts w:eastAsia="Times New Roman"/>
            <w:b/>
            <w:bCs/>
            <w:color w:val="FF6E00"/>
            <w:u w:val="none"/>
            <w:lang w:val="en-PH"/>
          </w:rPr>
          <w:t>MoU</w:t>
        </w:r>
      </w:hyperlink>
      <w:r w:rsidRPr="00E57A10">
        <w:rPr>
          <w:rFonts w:eastAsia="Times New Roman"/>
          <w:bCs/>
          <w:lang w:val="en-PH"/>
        </w:rPr>
        <w:t>) with the International Financial Services Centres Authority (</w:t>
      </w:r>
      <w:r w:rsidRPr="00E57A10">
        <w:rPr>
          <w:rFonts w:eastAsia="Times New Roman"/>
          <w:b/>
          <w:bCs/>
          <w:lang w:val="en-PH"/>
        </w:rPr>
        <w:t>IFSCA</w:t>
      </w:r>
      <w:r w:rsidRPr="00E57A10">
        <w:rPr>
          <w:rFonts w:eastAsia="Times New Roman"/>
          <w:bCs/>
          <w:lang w:val="en-PH"/>
        </w:rPr>
        <w:t>) of India in Sydney. The MoU was executed by ASIC Chair Joe Longo and IFSCA Chair Shri K Rajaraman, in the presence of senior Indian and Australian officials. The arrangement aims to deepen cooperation between the two jurisdictions in areas such as information sharing, regulatory compliance, market supervision, and the adoption of technology in financial markets. ASIC and IFSCA highlighted that the MoU represents a mutual commitment to collaboration, built on shared values of trust, transparency, and innovation. The partnership is expected to strengthen financial market resilience, support supervisory coordination, and enhance regulatory frameworks in both Australia and India. This development positions Australia as a proactive regional hub in cross-border regulatory alignment at a time of accelerating globalisation and digital transformation.</w:t>
      </w:r>
    </w:p>
    <w:p w14:paraId="4D46DC49" w14:textId="77777777" w:rsidR="00E57A10" w:rsidRPr="00E57A10" w:rsidRDefault="00E57A10" w:rsidP="00E57A10">
      <w:pPr>
        <w:jc w:val="both"/>
        <w:rPr>
          <w:rFonts w:eastAsia="Times New Roman"/>
          <w:bCs/>
          <w:lang w:val="en-PH"/>
        </w:rPr>
      </w:pPr>
      <w:r w:rsidRPr="00E57A10">
        <w:rPr>
          <w:rFonts w:eastAsia="Times New Roman"/>
          <w:bCs/>
          <w:lang w:val="en-PH"/>
        </w:rPr>
        <w:t>In para 3 of the ASIC announcement (09 September 2025), ASIC and IFSCA committed to </w:t>
      </w:r>
      <w:r w:rsidRPr="00E57A10">
        <w:rPr>
          <w:rFonts w:eastAsia="Times New Roman"/>
          <w:bCs/>
          <w:i/>
          <w:iCs/>
          <w:lang w:val="en-PH"/>
        </w:rPr>
        <w:t>“facilitate mutual assistance and information sharing between ASIC and IFSCA on areas such as trends and best practice and the use of technology in financial markets, regulatory compliance and the supervision and enforcement requirements of market participants.”</w:t>
      </w:r>
    </w:p>
    <w:p w14:paraId="327DC51F" w14:textId="77777777" w:rsidR="00E57A10" w:rsidRPr="00E57A10" w:rsidRDefault="00E57A10" w:rsidP="00E57A10">
      <w:pPr>
        <w:jc w:val="both"/>
        <w:rPr>
          <w:rFonts w:eastAsia="Times New Roman"/>
          <w:bCs/>
          <w:lang w:val="en-PH"/>
        </w:rPr>
      </w:pPr>
      <w:r w:rsidRPr="00E57A10">
        <w:rPr>
          <w:rFonts w:eastAsia="Times New Roman"/>
          <w:bCs/>
          <w:lang w:val="en-PH"/>
        </w:rPr>
        <w:t>In para 4, ASIC Chair Joe Longo stated: </w:t>
      </w:r>
      <w:r w:rsidRPr="00E57A10">
        <w:rPr>
          <w:rFonts w:eastAsia="Times New Roman"/>
          <w:bCs/>
          <w:i/>
          <w:iCs/>
          <w:lang w:val="en-PH"/>
        </w:rPr>
        <w:t>“This Memorandum of Understanding between our two authorities reinforces our shared values and vision that is future focused and grounded in mutual trust.”</w:t>
      </w:r>
    </w:p>
    <w:p w14:paraId="1DFFFF9E" w14:textId="77777777" w:rsidR="00E57A10" w:rsidRPr="00E57A10" w:rsidRDefault="00E57A10" w:rsidP="00E57A10">
      <w:pPr>
        <w:jc w:val="both"/>
        <w:rPr>
          <w:rFonts w:eastAsia="Times New Roman"/>
          <w:bCs/>
          <w:lang w:val="en-PH"/>
        </w:rPr>
      </w:pPr>
      <w:r w:rsidRPr="00E57A10">
        <w:rPr>
          <w:rFonts w:eastAsia="Times New Roman"/>
          <w:bCs/>
          <w:lang w:val="en-PH"/>
        </w:rPr>
        <w:t>In para 6, IFSCA Chair Shri K Rajaraman emphasised: </w:t>
      </w:r>
      <w:r w:rsidRPr="00E57A10">
        <w:rPr>
          <w:rFonts w:eastAsia="Times New Roman"/>
          <w:bCs/>
          <w:i/>
          <w:iCs/>
          <w:lang w:val="en-PH"/>
        </w:rPr>
        <w:t>“This engagement demonstrates the dynamic ties between our countries and reinforces the mutual commitment to work closely with each other to support a robust and effective financial services ecosystem in both the jurisdictions.”</w:t>
      </w:r>
    </w:p>
    <w:p w14:paraId="00FE2393" w14:textId="77777777" w:rsidR="00E57A10" w:rsidRPr="00E57A10" w:rsidRDefault="00E57A10" w:rsidP="00E57A10">
      <w:pPr>
        <w:jc w:val="both"/>
        <w:rPr>
          <w:rFonts w:eastAsia="Times New Roman"/>
          <w:bCs/>
          <w:lang w:val="en-PH"/>
        </w:rPr>
      </w:pPr>
      <w:r w:rsidRPr="00E57A10">
        <w:rPr>
          <w:rFonts w:eastAsia="Times New Roman"/>
          <w:b/>
          <w:bCs/>
          <w:lang w:val="en-PH"/>
        </w:rPr>
        <w:t>Australia–India Regulatory Cooperation Framework</w:t>
      </w:r>
    </w:p>
    <w:p w14:paraId="30A76358" w14:textId="77777777" w:rsidR="00E57A10" w:rsidRPr="00E57A10" w:rsidRDefault="00E57A10" w:rsidP="00E57A10">
      <w:pPr>
        <w:jc w:val="both"/>
        <w:rPr>
          <w:rFonts w:eastAsia="Times New Roman"/>
          <w:bCs/>
          <w:lang w:val="en-PH"/>
        </w:rPr>
      </w:pPr>
      <w:r w:rsidRPr="00E57A10">
        <w:rPr>
          <w:rFonts w:eastAsia="Times New Roman"/>
          <w:bCs/>
          <w:lang w:val="en-PH"/>
        </w:rPr>
        <w:t>The MoU establishes a channel for enhanced collaboration between ASIC and IFSCA, covering:</w:t>
      </w:r>
    </w:p>
    <w:p w14:paraId="209AEF81" w14:textId="77777777" w:rsidR="00E57A10" w:rsidRPr="00E57A10" w:rsidRDefault="00E57A10" w:rsidP="00E57A10">
      <w:pPr>
        <w:numPr>
          <w:ilvl w:val="0"/>
          <w:numId w:val="143"/>
        </w:numPr>
        <w:jc w:val="both"/>
        <w:rPr>
          <w:rFonts w:eastAsia="Times New Roman"/>
          <w:bCs/>
          <w:lang w:val="en-PH"/>
        </w:rPr>
      </w:pPr>
      <w:r w:rsidRPr="00E57A10">
        <w:rPr>
          <w:rFonts w:eastAsia="Times New Roman"/>
          <w:bCs/>
          <w:lang w:val="en-PH"/>
        </w:rPr>
        <w:t>Information exchange on emerging financial market trends and best practice.</w:t>
      </w:r>
    </w:p>
    <w:p w14:paraId="72E2E03E" w14:textId="77777777" w:rsidR="00E57A10" w:rsidRPr="00E57A10" w:rsidRDefault="00E57A10" w:rsidP="00E57A10">
      <w:pPr>
        <w:numPr>
          <w:ilvl w:val="0"/>
          <w:numId w:val="143"/>
        </w:numPr>
        <w:jc w:val="both"/>
        <w:rPr>
          <w:rFonts w:eastAsia="Times New Roman"/>
          <w:bCs/>
          <w:lang w:val="en-PH"/>
        </w:rPr>
      </w:pPr>
      <w:r w:rsidRPr="00E57A10">
        <w:rPr>
          <w:rFonts w:eastAsia="Times New Roman"/>
          <w:bCs/>
          <w:lang w:val="en-PH"/>
        </w:rPr>
        <w:t>Coordination in supervisory standards and enforcement of market rules.</w:t>
      </w:r>
    </w:p>
    <w:p w14:paraId="04C1B1CF" w14:textId="77777777" w:rsidR="00E57A10" w:rsidRPr="00E57A10" w:rsidRDefault="00E57A10" w:rsidP="00E57A10">
      <w:pPr>
        <w:numPr>
          <w:ilvl w:val="0"/>
          <w:numId w:val="143"/>
        </w:numPr>
        <w:jc w:val="both"/>
        <w:rPr>
          <w:rFonts w:eastAsia="Times New Roman"/>
          <w:bCs/>
          <w:lang w:val="en-PH"/>
        </w:rPr>
      </w:pPr>
      <w:r w:rsidRPr="00E57A10">
        <w:rPr>
          <w:rFonts w:eastAsia="Times New Roman"/>
          <w:bCs/>
          <w:lang w:val="en-PH"/>
        </w:rPr>
        <w:t>Joint focus on technology adoption in regulatory compliance.</w:t>
      </w:r>
    </w:p>
    <w:p w14:paraId="15CF1710" w14:textId="77777777" w:rsidR="00E57A10" w:rsidRPr="00E57A10" w:rsidRDefault="00E57A10" w:rsidP="00E57A10">
      <w:pPr>
        <w:numPr>
          <w:ilvl w:val="0"/>
          <w:numId w:val="143"/>
        </w:numPr>
        <w:jc w:val="both"/>
        <w:rPr>
          <w:rFonts w:eastAsia="Times New Roman"/>
          <w:bCs/>
          <w:lang w:val="en-PH"/>
        </w:rPr>
      </w:pPr>
      <w:r w:rsidRPr="00E57A10">
        <w:rPr>
          <w:rFonts w:eastAsia="Times New Roman"/>
          <w:bCs/>
          <w:lang w:val="en-PH"/>
        </w:rPr>
        <w:t>Mutual support in strengthening the resilience of financial services ecosystems.</w:t>
      </w:r>
    </w:p>
    <w:p w14:paraId="44B47184" w14:textId="77777777" w:rsidR="00E57A10" w:rsidRPr="00E57A10" w:rsidRDefault="00E57A10" w:rsidP="00E57A10">
      <w:pPr>
        <w:jc w:val="both"/>
        <w:rPr>
          <w:rFonts w:eastAsia="Times New Roman"/>
          <w:bCs/>
          <w:lang w:val="en-PH"/>
        </w:rPr>
      </w:pPr>
      <w:r w:rsidRPr="00E57A10">
        <w:rPr>
          <w:rFonts w:eastAsia="Times New Roman"/>
          <w:b/>
          <w:bCs/>
          <w:lang w:val="en-PH"/>
        </w:rPr>
        <w:t>Global Compatible Compliance for Market Participants</w:t>
      </w:r>
    </w:p>
    <w:p w14:paraId="5973B157" w14:textId="77777777" w:rsidR="00E57A10" w:rsidRPr="00E57A10" w:rsidRDefault="00E57A10" w:rsidP="00E57A10">
      <w:pPr>
        <w:jc w:val="both"/>
        <w:rPr>
          <w:rFonts w:eastAsia="Times New Roman"/>
          <w:bCs/>
          <w:lang w:val="en-PH"/>
        </w:rPr>
      </w:pPr>
      <w:r w:rsidRPr="00E57A10">
        <w:rPr>
          <w:rFonts w:eastAsia="Times New Roman"/>
          <w:bCs/>
          <w:lang w:val="en-PH"/>
        </w:rPr>
        <w:lastRenderedPageBreak/>
        <w:t>For financial institutions, fintechs, and service providers operating across Australia and India, this MoU provides an increased ease of regulatory compliance and cooperation. Market participants should anticipate:</w:t>
      </w:r>
    </w:p>
    <w:p w14:paraId="46672F05" w14:textId="77777777" w:rsidR="00E57A10" w:rsidRPr="00E57A10" w:rsidRDefault="00E57A10" w:rsidP="00E57A10">
      <w:pPr>
        <w:numPr>
          <w:ilvl w:val="0"/>
          <w:numId w:val="144"/>
        </w:numPr>
        <w:jc w:val="both"/>
        <w:rPr>
          <w:rFonts w:eastAsia="Times New Roman"/>
          <w:bCs/>
          <w:lang w:val="en-PH"/>
        </w:rPr>
      </w:pPr>
      <w:r w:rsidRPr="00E57A10">
        <w:rPr>
          <w:rFonts w:eastAsia="Times New Roman"/>
          <w:bCs/>
          <w:lang w:val="en-PH"/>
        </w:rPr>
        <w:t>Closer alignment of supervisory expectations.</w:t>
      </w:r>
    </w:p>
    <w:p w14:paraId="7F83B98A" w14:textId="77777777" w:rsidR="00E57A10" w:rsidRPr="00E57A10" w:rsidRDefault="00E57A10" w:rsidP="00E57A10">
      <w:pPr>
        <w:numPr>
          <w:ilvl w:val="0"/>
          <w:numId w:val="144"/>
        </w:numPr>
        <w:jc w:val="both"/>
        <w:rPr>
          <w:rFonts w:eastAsia="Times New Roman"/>
          <w:bCs/>
          <w:lang w:val="en-PH"/>
        </w:rPr>
      </w:pPr>
      <w:r w:rsidRPr="00E57A10">
        <w:rPr>
          <w:rFonts w:eastAsia="Times New Roman"/>
          <w:bCs/>
          <w:lang w:val="en-PH"/>
        </w:rPr>
        <w:t>Stronger emphasis on digital compliance solutions.</w:t>
      </w:r>
    </w:p>
    <w:p w14:paraId="7B71E475" w14:textId="77777777" w:rsidR="00E57A10" w:rsidRPr="00E57A10" w:rsidRDefault="00E57A10" w:rsidP="00E57A10">
      <w:pPr>
        <w:numPr>
          <w:ilvl w:val="0"/>
          <w:numId w:val="144"/>
        </w:numPr>
        <w:jc w:val="both"/>
        <w:rPr>
          <w:rFonts w:eastAsia="Times New Roman"/>
          <w:bCs/>
          <w:lang w:val="en-PH"/>
        </w:rPr>
      </w:pPr>
      <w:r w:rsidRPr="00E57A10">
        <w:rPr>
          <w:rFonts w:eastAsia="Times New Roman"/>
          <w:bCs/>
          <w:lang w:val="en-PH"/>
        </w:rPr>
        <w:t>Greater scope for regulatory information-sharing affecting cross-border operations.</w:t>
      </w:r>
    </w:p>
    <w:p w14:paraId="18667D94" w14:textId="21304DC1" w:rsidR="00E57A10" w:rsidRPr="00E57A10" w:rsidRDefault="00E57A10" w:rsidP="00E57A10">
      <w:pPr>
        <w:jc w:val="both"/>
        <w:rPr>
          <w:rFonts w:eastAsia="Times New Roman"/>
          <w:bCs/>
          <w:lang w:val="en-PH"/>
        </w:rPr>
      </w:pPr>
      <w:r w:rsidRPr="00E57A10">
        <w:rPr>
          <w:rFonts w:eastAsia="Times New Roman"/>
          <w:bCs/>
          <w:lang w:val="en-PH"/>
        </w:rPr>
        <w:t>The ASIC–IFSCA MoU reinforces Australia’s position and complements India’s influence in international finance through IFSCA, while highlighting Australia’s role in advancing digital market regulation. This cooperation deepens bilateral ties and supports the broader strategic aim of building robust and trusted financial systems across the Asia-Pacific region.</w:t>
      </w:r>
    </w:p>
    <w:p w14:paraId="2EEC42FA" w14:textId="77777777" w:rsidR="00E57A10" w:rsidRPr="00E57A10" w:rsidRDefault="00E57A10" w:rsidP="00E57A10">
      <w:pPr>
        <w:jc w:val="both"/>
        <w:rPr>
          <w:rFonts w:eastAsia="Times New Roman"/>
          <w:bCs/>
          <w:lang w:val="en-PH"/>
        </w:rPr>
      </w:pPr>
      <w:r w:rsidRPr="00E57A10">
        <w:rPr>
          <w:rFonts w:eastAsia="Times New Roman"/>
          <w:bCs/>
          <w:lang w:val="en-PH"/>
        </w:rPr>
        <w:t>(Source: </w:t>
      </w:r>
      <w:hyperlink r:id="rId32" w:tgtFrame="_blank" w:history="1">
        <w:r w:rsidRPr="00E57A10">
          <w:rPr>
            <w:rStyle w:val="Hyperlink"/>
            <w:rFonts w:eastAsia="Times New Roman"/>
            <w:bCs/>
            <w:color w:val="FF6E00"/>
            <w:lang w:val="en-PH"/>
          </w:rPr>
          <w:t>https://www.asic.gov.au/about-asic/news-centre/news-items/australian-securities-and-investment-commission-signs-mou-with-the-international-financial-services-centres-authority/</w:t>
        </w:r>
      </w:hyperlink>
      <w:r w:rsidRPr="00E57A10">
        <w:rPr>
          <w:rFonts w:eastAsia="Times New Roman"/>
          <w:bCs/>
          <w:lang w:val="en-PH"/>
        </w:rPr>
        <w:t>)</w:t>
      </w:r>
    </w:p>
    <w:p w14:paraId="10EAE53E" w14:textId="77777777" w:rsidR="00D0113E" w:rsidRDefault="00D0113E" w:rsidP="002C0F01">
      <w:pPr>
        <w:jc w:val="both"/>
        <w:rPr>
          <w:rFonts w:eastAsia="Times New Roman"/>
          <w:bCs/>
          <w:lang w:val="en-PH"/>
        </w:rPr>
      </w:pPr>
    </w:p>
    <w:p w14:paraId="5B859AF9" w14:textId="77777777" w:rsidR="008C6075" w:rsidRPr="008C6075" w:rsidRDefault="008C6075" w:rsidP="008C6075">
      <w:pPr>
        <w:jc w:val="both"/>
        <w:rPr>
          <w:b/>
          <w:bCs/>
          <w:color w:val="FF6E00"/>
          <w:lang w:val="en-PH"/>
        </w:rPr>
      </w:pPr>
      <w:r w:rsidRPr="008C6075">
        <w:rPr>
          <w:b/>
          <w:bCs/>
          <w:color w:val="FF6E00"/>
          <w:lang w:val="en-PH"/>
        </w:rPr>
        <w:t>Hong Kong SFC Suspends Former Agg. Asset Management Officer for 12 Months over Fund Mismanagement</w:t>
      </w:r>
    </w:p>
    <w:p w14:paraId="1579D641" w14:textId="77777777" w:rsidR="008C6075" w:rsidRPr="008C6075" w:rsidRDefault="008C6075" w:rsidP="008C6075">
      <w:pPr>
        <w:jc w:val="both"/>
        <w:rPr>
          <w:rFonts w:eastAsia="Times New Roman"/>
          <w:bCs/>
          <w:lang w:val="en-PH"/>
        </w:rPr>
      </w:pPr>
      <w:r w:rsidRPr="008C6075">
        <w:rPr>
          <w:rFonts w:eastAsia="Times New Roman"/>
          <w:bCs/>
          <w:lang w:val="en-PH"/>
        </w:rPr>
        <w:t>On 4 September 2025, the Hong Kong Securities and Futures Commission (</w:t>
      </w:r>
      <w:r w:rsidRPr="008C6075">
        <w:rPr>
          <w:rFonts w:eastAsia="Times New Roman"/>
          <w:b/>
          <w:bCs/>
          <w:lang w:val="en-PH"/>
        </w:rPr>
        <w:t>HK SFC</w:t>
      </w:r>
      <w:r w:rsidRPr="008C6075">
        <w:rPr>
          <w:rFonts w:eastAsia="Times New Roman"/>
          <w:bCs/>
          <w:lang w:val="en-PH"/>
        </w:rPr>
        <w:t>) </w:t>
      </w:r>
      <w:hyperlink r:id="rId33" w:tgtFrame="_blank" w:history="1">
        <w:r w:rsidRPr="008C6075">
          <w:rPr>
            <w:rStyle w:val="Hyperlink"/>
            <w:rFonts w:eastAsia="Times New Roman"/>
            <w:bCs/>
            <w:color w:val="FF6E00"/>
            <w:u w:val="none"/>
            <w:lang w:val="en-PH"/>
          </w:rPr>
          <w:t>announced</w:t>
        </w:r>
      </w:hyperlink>
      <w:r w:rsidRPr="008C6075">
        <w:rPr>
          <w:rFonts w:eastAsia="Times New Roman"/>
          <w:bCs/>
          <w:color w:val="FF6E00"/>
          <w:lang w:val="en-PH"/>
        </w:rPr>
        <w:t> </w:t>
      </w:r>
      <w:r w:rsidRPr="008C6075">
        <w:rPr>
          <w:rFonts w:eastAsia="Times New Roman"/>
          <w:bCs/>
          <w:lang w:val="en-PH"/>
        </w:rPr>
        <w:t>as it suspended the licence of Mr Chow Tsz Lam, a former responsible officer (</w:t>
      </w:r>
      <w:r w:rsidRPr="008C6075">
        <w:rPr>
          <w:rFonts w:eastAsia="Times New Roman"/>
          <w:b/>
          <w:bCs/>
          <w:lang w:val="en-PH"/>
        </w:rPr>
        <w:t>RO</w:t>
      </w:r>
      <w:r w:rsidRPr="008C6075">
        <w:rPr>
          <w:rFonts w:eastAsia="Times New Roman"/>
          <w:bCs/>
          <w:lang w:val="en-PH"/>
        </w:rPr>
        <w:t>) and Manager-in-Charge (</w:t>
      </w:r>
      <w:r w:rsidRPr="008C6075">
        <w:rPr>
          <w:rFonts w:eastAsia="Times New Roman"/>
          <w:b/>
          <w:bCs/>
          <w:lang w:val="en-PH"/>
        </w:rPr>
        <w:t>MIC</w:t>
      </w:r>
      <w:r w:rsidRPr="008C6075">
        <w:rPr>
          <w:rFonts w:eastAsia="Times New Roman"/>
          <w:bCs/>
          <w:lang w:val="en-PH"/>
        </w:rPr>
        <w:t>) of Agg. Asset Management Limited (Agg), for 12 months under section 194 of the Securities and Futures Ordinance (</w:t>
      </w:r>
      <w:r w:rsidRPr="008C6075">
        <w:rPr>
          <w:rFonts w:eastAsia="Times New Roman"/>
          <w:b/>
          <w:bCs/>
          <w:lang w:val="en-PH"/>
        </w:rPr>
        <w:t>HK SFO</w:t>
      </w:r>
      <w:r w:rsidRPr="008C6075">
        <w:rPr>
          <w:rFonts w:eastAsia="Times New Roman"/>
          <w:bCs/>
          <w:lang w:val="en-PH"/>
        </w:rPr>
        <w:t>). The suspension runs from 2 September 2025 to 1 September 2026. The disciplinary decision followed findings that Agg, as investment manager of a Cayman-incorporated fund, invested between 88.83% and 100% of the fund’s assets in debentures issued by companies wholly owned by Mr Ng Ka Shun, Agg’s sole shareholder, director, and other RO. These investments created unmanaged conflicts of interest, exposed investors to material risks, and inflated the net asset value (NAV) through questionable structures. The HK SFC determined that Chow, as RO and MIC, failed to safeguard investor interests, ensure proper risk controls, and prevent NAV inflation despite being fully aware of the debenture transactions.</w:t>
      </w:r>
    </w:p>
    <w:p w14:paraId="7E1D2A71" w14:textId="77777777" w:rsidR="008C6075" w:rsidRPr="008C6075" w:rsidRDefault="008C6075" w:rsidP="008C6075">
      <w:pPr>
        <w:jc w:val="both"/>
        <w:rPr>
          <w:rFonts w:eastAsia="Times New Roman"/>
          <w:bCs/>
          <w:lang w:val="en-PH"/>
        </w:rPr>
      </w:pPr>
      <w:r w:rsidRPr="008C6075">
        <w:rPr>
          <w:rFonts w:eastAsia="Times New Roman"/>
          <w:bCs/>
          <w:lang w:val="en-PH"/>
        </w:rPr>
        <w:t>In para 1 of the </w:t>
      </w:r>
      <w:hyperlink r:id="rId34" w:tgtFrame="_blank" w:history="1">
        <w:r w:rsidRPr="008C6075">
          <w:rPr>
            <w:rStyle w:val="Hyperlink"/>
            <w:rFonts w:eastAsia="Times New Roman"/>
            <w:bCs/>
            <w:color w:val="FF6E00"/>
            <w:u w:val="none"/>
            <w:lang w:val="en-PH"/>
          </w:rPr>
          <w:t>Statement of Disciplinary Action</w:t>
        </w:r>
      </w:hyperlink>
      <w:r w:rsidRPr="008C6075">
        <w:rPr>
          <w:rFonts w:eastAsia="Times New Roman"/>
          <w:bCs/>
          <w:lang w:val="en-PH"/>
        </w:rPr>
        <w:t> (4 September 2025), the HK SFC stated: </w:t>
      </w:r>
      <w:r w:rsidRPr="008C6075">
        <w:rPr>
          <w:rFonts w:eastAsia="Times New Roman"/>
          <w:bCs/>
          <w:i/>
          <w:iCs/>
          <w:lang w:val="en-PH"/>
        </w:rPr>
        <w:t>“The HK SFC has suspended the licence of Mr Chow Tsz Lam (Chow)… for 12 months from 2 September 2025 to 1 September 2026 pursuant to section 194 of the Securities and Futures Ordinance.”</w:t>
      </w:r>
    </w:p>
    <w:p w14:paraId="3FF21F0C" w14:textId="77777777" w:rsidR="008C6075" w:rsidRPr="008C6075" w:rsidRDefault="008C6075" w:rsidP="008C6075">
      <w:pPr>
        <w:jc w:val="both"/>
        <w:rPr>
          <w:rFonts w:eastAsia="Times New Roman"/>
          <w:bCs/>
          <w:lang w:val="en-PH"/>
        </w:rPr>
      </w:pPr>
      <w:r w:rsidRPr="008C6075">
        <w:rPr>
          <w:rFonts w:eastAsia="Times New Roman"/>
          <w:bCs/>
          <w:lang w:val="en-PH"/>
        </w:rPr>
        <w:t>In para 3 of the Statement, Agg was found to have </w:t>
      </w:r>
      <w:r w:rsidRPr="008C6075">
        <w:rPr>
          <w:rFonts w:eastAsia="Times New Roman"/>
          <w:bCs/>
          <w:i/>
          <w:iCs/>
          <w:lang w:val="en-PH"/>
        </w:rPr>
        <w:t>“failed to prevent, manage and minimise actual or potential conflicts… failed to ensure sufficient risk management measures… and caused Fund A to invest in 2 debentures which appeared to have been constructed for the purpose of inflating the fund’s net asset value (</w:t>
      </w:r>
      <w:r w:rsidRPr="008C6075">
        <w:rPr>
          <w:rFonts w:eastAsia="Times New Roman"/>
          <w:b/>
          <w:bCs/>
          <w:i/>
          <w:iCs/>
          <w:lang w:val="en-PH"/>
        </w:rPr>
        <w:t>NAV</w:t>
      </w:r>
      <w:r w:rsidRPr="008C6075">
        <w:rPr>
          <w:rFonts w:eastAsia="Times New Roman"/>
          <w:bCs/>
          <w:i/>
          <w:iCs/>
          <w:lang w:val="en-PH"/>
        </w:rPr>
        <w:t>).”</w:t>
      </w:r>
    </w:p>
    <w:p w14:paraId="469DDBB6" w14:textId="77777777" w:rsidR="008C6075" w:rsidRPr="008C6075" w:rsidRDefault="008C6075" w:rsidP="008C6075">
      <w:pPr>
        <w:jc w:val="both"/>
        <w:rPr>
          <w:rFonts w:eastAsia="Times New Roman"/>
          <w:bCs/>
          <w:lang w:val="en-PH"/>
        </w:rPr>
      </w:pPr>
      <w:r w:rsidRPr="008C6075">
        <w:rPr>
          <w:rFonts w:eastAsia="Times New Roman"/>
          <w:bCs/>
          <w:lang w:val="en-PH"/>
        </w:rPr>
        <w:t>In para 15 of the Statement, the HK SFC identified breaches of </w:t>
      </w:r>
      <w:r w:rsidRPr="008C6075">
        <w:rPr>
          <w:rFonts w:eastAsia="Times New Roman"/>
          <w:bCs/>
          <w:i/>
          <w:iCs/>
          <w:lang w:val="en-PH"/>
        </w:rPr>
        <w:t>“General Principle (GP) 1… GP 2… GP 6… Paragraphs 1.2(d), 1.5 and 1.7.1 of the Fund Manager Code of Conduct… and GP 9 of the Code of Conduct.”</w:t>
      </w:r>
    </w:p>
    <w:p w14:paraId="3102B27B" w14:textId="77777777" w:rsidR="008C6075" w:rsidRPr="008C6075" w:rsidRDefault="008C6075" w:rsidP="008C6075">
      <w:pPr>
        <w:jc w:val="both"/>
        <w:rPr>
          <w:rFonts w:eastAsia="Times New Roman"/>
          <w:bCs/>
          <w:lang w:val="en-PH"/>
        </w:rPr>
      </w:pPr>
      <w:r w:rsidRPr="008C6075">
        <w:rPr>
          <w:rFonts w:eastAsia="Times New Roman"/>
          <w:b/>
          <w:bCs/>
          <w:lang w:val="en-PH"/>
        </w:rPr>
        <w:t>Fund A’s Debenture Investments and Conflicts of Interest</w:t>
      </w:r>
    </w:p>
    <w:p w14:paraId="4F85D899" w14:textId="77777777" w:rsidR="008C6075" w:rsidRPr="008C6075" w:rsidRDefault="008C6075" w:rsidP="008C6075">
      <w:pPr>
        <w:jc w:val="both"/>
        <w:rPr>
          <w:rFonts w:eastAsia="Times New Roman"/>
          <w:bCs/>
          <w:lang w:val="en-PH"/>
        </w:rPr>
      </w:pPr>
      <w:r w:rsidRPr="008C6075">
        <w:rPr>
          <w:rFonts w:eastAsia="Times New Roman"/>
          <w:bCs/>
          <w:lang w:val="en-PH"/>
        </w:rPr>
        <w:t xml:space="preserve">Between February 2018 and February 2019, Fund A subscribed for five debentures issued by companies owned by Ng. At times, these represented almost the entirety of the fund’s portfolio. Shortly after </w:t>
      </w:r>
      <w:r w:rsidRPr="008C6075">
        <w:rPr>
          <w:rFonts w:eastAsia="Times New Roman"/>
          <w:bCs/>
          <w:lang w:val="en-PH"/>
        </w:rPr>
        <w:lastRenderedPageBreak/>
        <w:t>receiving US$4.25 million in subscription funds, Ng withdrew over US$4.1 million as personal loans. The SFC noted that Agg failed to act against partial repayments and failed to protect investors. Moreover, two debentures i.e. one issued by Agg 1 and another by Agg 2, were used to inflate NAV by booking a “Corporate Commitment Fee” and a “Corporate Guarantee” as revenues and cash equivalents, despite no genuine commercial basis</w:t>
      </w:r>
    </w:p>
    <w:p w14:paraId="5CD33D19" w14:textId="77777777" w:rsidR="008C6075" w:rsidRPr="008C6075" w:rsidRDefault="008C6075" w:rsidP="008C6075">
      <w:pPr>
        <w:jc w:val="both"/>
        <w:rPr>
          <w:rFonts w:eastAsia="Times New Roman"/>
          <w:bCs/>
          <w:lang w:val="en-PH"/>
        </w:rPr>
      </w:pPr>
      <w:r w:rsidRPr="008C6075">
        <w:rPr>
          <w:rFonts w:eastAsia="Times New Roman"/>
          <w:b/>
          <w:bCs/>
          <w:lang w:val="en-PH"/>
        </w:rPr>
        <w:t>Chow’s Failures as Responsible Officer</w:t>
      </w:r>
    </w:p>
    <w:p w14:paraId="2EDBC7EB" w14:textId="77777777" w:rsidR="008C6075" w:rsidRPr="008C6075" w:rsidRDefault="008C6075" w:rsidP="008C6075">
      <w:pPr>
        <w:jc w:val="both"/>
        <w:rPr>
          <w:rFonts w:eastAsia="Times New Roman"/>
          <w:bCs/>
          <w:lang w:val="en-PH"/>
        </w:rPr>
      </w:pPr>
      <w:r w:rsidRPr="008C6075">
        <w:rPr>
          <w:rFonts w:eastAsia="Times New Roman"/>
          <w:bCs/>
          <w:lang w:val="en-PH"/>
        </w:rPr>
        <w:t>Although Ng made the investment decisions, Chow was fully aware of the debenture subscriptions and their conflicts. He did not raise concerns, did not ensure conflicts were managed, and failed to oversee fair treatment of investors. As MIC for compliance, AML/CTF, operational control, and risk management, Chow also failed to act on risks related to concentration, conflicts, and valuation. The SFC found he communicated directly with the fund administrator about NAV valuations but failed to consider the distortive effect of the debenture structures</w:t>
      </w:r>
    </w:p>
    <w:p w14:paraId="4091420F" w14:textId="77777777" w:rsidR="008C6075" w:rsidRPr="008C6075" w:rsidRDefault="008C6075" w:rsidP="008C6075">
      <w:pPr>
        <w:jc w:val="both"/>
        <w:rPr>
          <w:rFonts w:eastAsia="Times New Roman"/>
          <w:bCs/>
          <w:lang w:val="en-PH"/>
        </w:rPr>
      </w:pPr>
      <w:r w:rsidRPr="008C6075">
        <w:rPr>
          <w:rFonts w:eastAsia="Times New Roman"/>
          <w:b/>
          <w:bCs/>
          <w:lang w:val="en-PH"/>
        </w:rPr>
        <w:t>Compliance Implications and Requirements for Asset Managers in Hong Kong</w:t>
      </w:r>
    </w:p>
    <w:p w14:paraId="1FA0226D" w14:textId="77777777" w:rsidR="008C6075" w:rsidRPr="008C6075" w:rsidRDefault="008C6075" w:rsidP="008C6075">
      <w:pPr>
        <w:jc w:val="both"/>
        <w:rPr>
          <w:rFonts w:eastAsia="Times New Roman"/>
          <w:bCs/>
          <w:lang w:val="en-PH"/>
        </w:rPr>
      </w:pPr>
      <w:r w:rsidRPr="008C6075">
        <w:rPr>
          <w:rFonts w:eastAsia="Times New Roman"/>
          <w:bCs/>
          <w:lang w:val="en-PH"/>
        </w:rPr>
        <w:t>The case illustrates the importance of active oversight by responsible officers and MICs. Senior management cannot rely on delegation to decision-makers when faced with conflicts of interest or valuation risks. Asset managers must:</w:t>
      </w:r>
    </w:p>
    <w:p w14:paraId="5D55756E" w14:textId="77777777" w:rsidR="008C6075" w:rsidRPr="008C6075" w:rsidRDefault="008C6075" w:rsidP="008C6075">
      <w:pPr>
        <w:numPr>
          <w:ilvl w:val="0"/>
          <w:numId w:val="145"/>
        </w:numPr>
        <w:jc w:val="both"/>
        <w:rPr>
          <w:rFonts w:eastAsia="Times New Roman"/>
          <w:bCs/>
          <w:lang w:val="en-PH"/>
        </w:rPr>
      </w:pPr>
      <w:r w:rsidRPr="008C6075">
        <w:rPr>
          <w:rFonts w:eastAsia="Times New Roman"/>
          <w:bCs/>
          <w:lang w:val="en-PH"/>
        </w:rPr>
        <w:t>Implement effective risk management systems.</w:t>
      </w:r>
    </w:p>
    <w:p w14:paraId="3286E1E4" w14:textId="77777777" w:rsidR="008C6075" w:rsidRPr="008C6075" w:rsidRDefault="008C6075" w:rsidP="008C6075">
      <w:pPr>
        <w:numPr>
          <w:ilvl w:val="0"/>
          <w:numId w:val="145"/>
        </w:numPr>
        <w:jc w:val="both"/>
        <w:rPr>
          <w:rFonts w:eastAsia="Times New Roman"/>
          <w:bCs/>
          <w:lang w:val="en-PH"/>
        </w:rPr>
      </w:pPr>
      <w:r w:rsidRPr="008C6075">
        <w:rPr>
          <w:rFonts w:eastAsia="Times New Roman"/>
          <w:bCs/>
          <w:lang w:val="en-PH"/>
        </w:rPr>
        <w:t>Ensure NAV accurately reflects asset values.</w:t>
      </w:r>
    </w:p>
    <w:p w14:paraId="7B94B500" w14:textId="77777777" w:rsidR="008C6075" w:rsidRPr="008C6075" w:rsidRDefault="008C6075" w:rsidP="008C6075">
      <w:pPr>
        <w:numPr>
          <w:ilvl w:val="0"/>
          <w:numId w:val="145"/>
        </w:numPr>
        <w:jc w:val="both"/>
        <w:rPr>
          <w:rFonts w:eastAsia="Times New Roman"/>
          <w:bCs/>
          <w:lang w:val="en-PH"/>
        </w:rPr>
      </w:pPr>
      <w:r w:rsidRPr="008C6075">
        <w:rPr>
          <w:rFonts w:eastAsia="Times New Roman"/>
          <w:bCs/>
          <w:lang w:val="en-PH"/>
        </w:rPr>
        <w:t>Prevent conflicts or manage them with safeguards and disclosures.</w:t>
      </w:r>
    </w:p>
    <w:p w14:paraId="12F0C4A7" w14:textId="77777777" w:rsidR="008C6075" w:rsidRPr="008C6075" w:rsidRDefault="008C6075" w:rsidP="008C6075">
      <w:pPr>
        <w:numPr>
          <w:ilvl w:val="0"/>
          <w:numId w:val="145"/>
        </w:numPr>
        <w:jc w:val="both"/>
        <w:rPr>
          <w:rFonts w:eastAsia="Times New Roman"/>
          <w:bCs/>
          <w:lang w:val="en-PH"/>
        </w:rPr>
      </w:pPr>
      <w:r w:rsidRPr="008C6075">
        <w:rPr>
          <w:rFonts w:eastAsia="Times New Roman"/>
          <w:bCs/>
          <w:lang w:val="en-PH"/>
        </w:rPr>
        <w:t>Uphold fiduciary duties to investors under the Code of Conduct and FMCC.</w:t>
      </w:r>
    </w:p>
    <w:p w14:paraId="39B4F3B0" w14:textId="77777777" w:rsidR="008C6075" w:rsidRPr="008C6075" w:rsidRDefault="008C6075" w:rsidP="008C6075">
      <w:pPr>
        <w:jc w:val="both"/>
        <w:rPr>
          <w:rFonts w:eastAsia="Times New Roman"/>
          <w:bCs/>
          <w:lang w:val="en-PH"/>
        </w:rPr>
      </w:pPr>
      <w:r w:rsidRPr="008C6075">
        <w:rPr>
          <w:rFonts w:eastAsia="Times New Roman"/>
          <w:b/>
          <w:bCs/>
          <w:lang w:val="en-PH"/>
        </w:rPr>
        <w:t>Geopolitical and Market Insights</w:t>
      </w:r>
    </w:p>
    <w:p w14:paraId="7FAA74D5" w14:textId="55FFD838" w:rsidR="008C6075" w:rsidRPr="008C6075" w:rsidRDefault="008C6075" w:rsidP="008C6075">
      <w:pPr>
        <w:jc w:val="both"/>
        <w:rPr>
          <w:rFonts w:eastAsia="Times New Roman"/>
          <w:bCs/>
          <w:lang w:val="en-PH"/>
        </w:rPr>
      </w:pPr>
      <w:r w:rsidRPr="008C6075">
        <w:rPr>
          <w:rFonts w:eastAsia="Times New Roman"/>
          <w:bCs/>
          <w:lang w:val="en-PH"/>
        </w:rPr>
        <w:t>The sanction against Chow reflects Hong Kong’s broader commitment to align its fund management industry with international fiduciary and governance standards. In a regional market attracting cross-border funds, regulatory actions of this nature assure global investors that Hong Kong will enforce accountability not only for misconduct but also for failures of oversight. This reinforces Hong Kong’s role as a leading regulatory hub for asset and fund managers in Asia.</w:t>
      </w:r>
    </w:p>
    <w:p w14:paraId="4950F967" w14:textId="77777777" w:rsidR="008C6075" w:rsidRPr="008C6075" w:rsidRDefault="008C6075" w:rsidP="008C6075">
      <w:pPr>
        <w:jc w:val="both"/>
        <w:rPr>
          <w:rFonts w:eastAsia="Times New Roman"/>
          <w:bCs/>
          <w:lang w:val="en-PH"/>
        </w:rPr>
      </w:pPr>
      <w:r w:rsidRPr="008C6075">
        <w:rPr>
          <w:rFonts w:eastAsia="Times New Roman"/>
          <w:bCs/>
          <w:lang w:val="en-PH"/>
        </w:rPr>
        <w:t>(Source: </w:t>
      </w:r>
      <w:hyperlink r:id="rId35" w:tgtFrame="_blank" w:history="1">
        <w:r w:rsidRPr="008C6075">
          <w:rPr>
            <w:rStyle w:val="Hyperlink"/>
            <w:rFonts w:eastAsia="Times New Roman"/>
            <w:bCs/>
            <w:color w:val="FF6E00"/>
            <w:lang w:val="en-PH"/>
          </w:rPr>
          <w:t>https://apps.sfc.hk/edistributionWeb/gateway/EN/news-and-announcements/news/doc?refNo=25PR138</w:t>
        </w:r>
      </w:hyperlink>
      <w:r w:rsidRPr="008C6075">
        <w:rPr>
          <w:rFonts w:eastAsia="Times New Roman"/>
          <w:bCs/>
          <w:lang w:val="en-PH"/>
        </w:rPr>
        <w:t>)</w:t>
      </w:r>
    </w:p>
    <w:p w14:paraId="4A014C2D" w14:textId="77777777" w:rsidR="00D0113E" w:rsidRDefault="00D0113E" w:rsidP="002C0F01">
      <w:pPr>
        <w:jc w:val="both"/>
        <w:rPr>
          <w:rFonts w:eastAsia="Times New Roman"/>
          <w:bCs/>
          <w:lang w:val="en-PH"/>
        </w:rPr>
      </w:pPr>
    </w:p>
    <w:p w14:paraId="1BB3789C" w14:textId="77777777" w:rsidR="0066030A" w:rsidRPr="0066030A" w:rsidRDefault="0066030A" w:rsidP="0066030A">
      <w:pPr>
        <w:jc w:val="both"/>
        <w:rPr>
          <w:b/>
          <w:bCs/>
          <w:color w:val="FF6E00"/>
          <w:lang w:val="en-PH"/>
        </w:rPr>
      </w:pPr>
      <w:r w:rsidRPr="0066030A">
        <w:rPr>
          <w:b/>
          <w:bCs/>
          <w:color w:val="FF6E00"/>
          <w:lang w:val="en-PH"/>
        </w:rPr>
        <w:t>United States SEC Institutes Administrative Proceedings Against Agri-Fintech Holdings for Filing Delinquencies</w:t>
      </w:r>
    </w:p>
    <w:p w14:paraId="57518A14" w14:textId="77777777" w:rsidR="0066030A" w:rsidRPr="0066030A" w:rsidRDefault="0066030A" w:rsidP="0066030A">
      <w:pPr>
        <w:jc w:val="both"/>
        <w:rPr>
          <w:rFonts w:eastAsia="Times New Roman"/>
          <w:bCs/>
          <w:lang w:val="en-PH"/>
        </w:rPr>
      </w:pPr>
      <w:r w:rsidRPr="0066030A">
        <w:rPr>
          <w:rFonts w:eastAsia="Times New Roman"/>
          <w:bCs/>
          <w:lang w:val="en-PH"/>
        </w:rPr>
        <w:t>On 3 September 2025, the United States Securities and Exchange Commission (</w:t>
      </w:r>
      <w:r w:rsidRPr="0066030A">
        <w:rPr>
          <w:rFonts w:eastAsia="Times New Roman"/>
          <w:b/>
          <w:bCs/>
          <w:lang w:val="en-PH"/>
        </w:rPr>
        <w:t>US SEC</w:t>
      </w:r>
      <w:r w:rsidRPr="0066030A">
        <w:rPr>
          <w:rFonts w:eastAsia="Times New Roman"/>
          <w:bCs/>
          <w:lang w:val="en-PH"/>
        </w:rPr>
        <w:t>) </w:t>
      </w:r>
      <w:hyperlink r:id="rId36" w:tgtFrame="_blank" w:history="1">
        <w:r w:rsidRPr="0066030A">
          <w:rPr>
            <w:rStyle w:val="Hyperlink"/>
            <w:rFonts w:eastAsia="Times New Roman"/>
            <w:bCs/>
            <w:color w:val="FF6E00"/>
            <w:u w:val="none"/>
            <w:lang w:val="en-PH"/>
          </w:rPr>
          <w:t>issued an order instituting public administrative proceedings</w:t>
        </w:r>
      </w:hyperlink>
      <w:r w:rsidRPr="0066030A">
        <w:rPr>
          <w:rFonts w:eastAsia="Times New Roman"/>
          <w:bCs/>
          <w:lang w:val="en-PH"/>
        </w:rPr>
        <w:t xml:space="preserve"> against Agri-Fintech Holdings, Inc. The Nevada corporation, formerly known as Tingo, Inc., has failed to meet its reporting obligations under the Securities Exchange Act of 1934. The US SEC alleges that Agri-Fintech has not filed any periodic reports since June 2023, leaving investors without current and accurate financial disclosures. The proceeding, brought under Section 12(j) of the Exchange Act, will determine whether the registration of the company’s securities should be </w:t>
      </w:r>
      <w:r w:rsidRPr="0066030A">
        <w:rPr>
          <w:rFonts w:eastAsia="Times New Roman"/>
          <w:bCs/>
          <w:lang w:val="en-PH"/>
        </w:rPr>
        <w:lastRenderedPageBreak/>
        <w:t>suspended or revoked. Investors and market participants should note that failure to comply with periodic reporting requirements is grounds for deregistration, cutting off access to US public markets.</w:t>
      </w:r>
    </w:p>
    <w:p w14:paraId="6E2AF33C" w14:textId="77777777" w:rsidR="0066030A" w:rsidRPr="0066030A" w:rsidRDefault="0066030A" w:rsidP="0066030A">
      <w:pPr>
        <w:jc w:val="both"/>
        <w:rPr>
          <w:rFonts w:eastAsia="Times New Roman"/>
          <w:bCs/>
          <w:lang w:val="en-PH"/>
        </w:rPr>
      </w:pPr>
      <w:r w:rsidRPr="0066030A">
        <w:rPr>
          <w:rFonts w:eastAsia="Times New Roman"/>
          <w:bCs/>
          <w:i/>
          <w:iCs/>
          <w:lang w:val="en-PH"/>
        </w:rPr>
        <w:t>“The Securities and Exchange Commission deems it necessary and appropriate for the protection of investors that public administrative proceedings be, and hereby are, instituted pursuant to Section 12(j) of the Securities Exchange Act of 1934 against the respondent named in the caption (‘Respondent’).”</w:t>
      </w:r>
    </w:p>
    <w:p w14:paraId="00C23A10" w14:textId="77777777" w:rsidR="0066030A" w:rsidRPr="0066030A" w:rsidRDefault="0066030A" w:rsidP="0066030A">
      <w:pPr>
        <w:jc w:val="both"/>
        <w:rPr>
          <w:rFonts w:eastAsia="Times New Roman"/>
          <w:bCs/>
          <w:lang w:val="en-PH"/>
        </w:rPr>
      </w:pPr>
      <w:r w:rsidRPr="0066030A">
        <w:rPr>
          <w:rFonts w:eastAsia="Times New Roman"/>
          <w:bCs/>
          <w:lang w:val="en-PH"/>
        </w:rPr>
        <w:t>The respondent is Agri-Fintech Holdings, Inc. (f/k/a Tingo, Inc.), a revoked Nevada corporation located in Draper, Utah. The company’s securities are registered under Exchange Act Section 12(g).</w:t>
      </w:r>
    </w:p>
    <w:p w14:paraId="363A35A1" w14:textId="77777777" w:rsidR="0066030A" w:rsidRPr="0066030A" w:rsidRDefault="0066030A" w:rsidP="0066030A">
      <w:pPr>
        <w:jc w:val="both"/>
        <w:rPr>
          <w:rFonts w:eastAsia="Times New Roman"/>
          <w:bCs/>
          <w:lang w:val="en-PH"/>
        </w:rPr>
      </w:pPr>
      <w:r w:rsidRPr="0066030A">
        <w:rPr>
          <w:rFonts w:eastAsia="Times New Roman"/>
          <w:bCs/>
          <w:lang w:val="en-PH"/>
        </w:rPr>
        <w:t>The US SEC’s Division of Enforcement alleges repeated violations of Section 13(a) of the United States Securities Exchange Act and Rules 13a-1 and 13a-13, which require issuers to file annual and quarterly reports.</w:t>
      </w:r>
    </w:p>
    <w:p w14:paraId="722835B5" w14:textId="77777777" w:rsidR="0066030A" w:rsidRPr="0066030A" w:rsidRDefault="0066030A" w:rsidP="0066030A">
      <w:pPr>
        <w:jc w:val="both"/>
        <w:rPr>
          <w:rFonts w:eastAsia="Times New Roman"/>
          <w:bCs/>
          <w:lang w:val="en-PH"/>
        </w:rPr>
      </w:pPr>
      <w:r w:rsidRPr="0066030A">
        <w:rPr>
          <w:rFonts w:eastAsia="Times New Roman"/>
          <w:bCs/>
          <w:i/>
          <w:iCs/>
          <w:lang w:val="en-PH"/>
        </w:rPr>
        <w:t>“Agri-Fintech is delinquent in its periodic filings with the Commission, having not filed any periodic reports since it filed a Form 10-Q for the period ended June 30, 2023, which reported a net loss of $11,222,527 for the prior three months. As of August 4, 2025, the common stock of Agri-Fintech was not publicly quoted or traded.”</w:t>
      </w:r>
    </w:p>
    <w:p w14:paraId="0BA14C5B" w14:textId="77777777" w:rsidR="0066030A" w:rsidRPr="0066030A" w:rsidRDefault="0066030A" w:rsidP="0066030A">
      <w:pPr>
        <w:jc w:val="both"/>
        <w:rPr>
          <w:rFonts w:eastAsia="Times New Roman"/>
          <w:bCs/>
          <w:lang w:val="en-PH"/>
        </w:rPr>
      </w:pPr>
      <w:r w:rsidRPr="0066030A">
        <w:rPr>
          <w:rFonts w:eastAsia="Times New Roman"/>
          <w:bCs/>
          <w:lang w:val="en-PH"/>
        </w:rPr>
        <w:t>The US SEC has moved under Section 12(j), that allows it to suspend or revoke a company’s registration. Revocation would effectively end the company’s ability to have its securities publicly traded.</w:t>
      </w:r>
    </w:p>
    <w:p w14:paraId="45FAEC3E" w14:textId="77777777" w:rsidR="0066030A" w:rsidRPr="0066030A" w:rsidRDefault="0066030A" w:rsidP="0066030A">
      <w:pPr>
        <w:jc w:val="both"/>
        <w:rPr>
          <w:rFonts w:eastAsia="Times New Roman"/>
          <w:bCs/>
          <w:lang w:val="en-PH"/>
        </w:rPr>
      </w:pPr>
      <w:r w:rsidRPr="0066030A">
        <w:rPr>
          <w:rFonts w:eastAsia="Times New Roman"/>
          <w:bCs/>
          <w:lang w:val="en-PH"/>
        </w:rPr>
        <w:t>The US SEC will now determine:</w:t>
      </w:r>
    </w:p>
    <w:p w14:paraId="4645CE4E" w14:textId="77777777" w:rsidR="0066030A" w:rsidRPr="0066030A" w:rsidRDefault="0066030A" w:rsidP="0066030A">
      <w:pPr>
        <w:jc w:val="both"/>
        <w:rPr>
          <w:rFonts w:eastAsia="Times New Roman"/>
          <w:bCs/>
          <w:lang w:val="en-PH"/>
        </w:rPr>
      </w:pPr>
      <w:r w:rsidRPr="0066030A">
        <w:rPr>
          <w:rFonts w:eastAsia="Times New Roman"/>
          <w:bCs/>
          <w:i/>
          <w:iCs/>
          <w:lang w:val="en-PH"/>
        </w:rPr>
        <w:t>“Whether it is necessary and appropriate for the protection of investors to suspend for a period not exceeding twelve months, or revoke the registration of each class of securities registered pursuant to Section 12 of the Exchange Act of the Respondent…”</w:t>
      </w:r>
    </w:p>
    <w:p w14:paraId="7F6FAF3D" w14:textId="2A800D6D" w:rsidR="0066030A" w:rsidRPr="0066030A" w:rsidRDefault="0066030A" w:rsidP="0066030A">
      <w:pPr>
        <w:jc w:val="both"/>
        <w:rPr>
          <w:rFonts w:eastAsia="Times New Roman"/>
          <w:bCs/>
          <w:lang w:val="en-PH"/>
        </w:rPr>
      </w:pPr>
      <w:r w:rsidRPr="0066030A">
        <w:rPr>
          <w:rFonts w:eastAsia="Times New Roman"/>
          <w:bCs/>
          <w:lang w:val="en-PH"/>
        </w:rPr>
        <w:t>The respondent must file an Answer within 10 days, and a prehearing conference is mandated within 14 days. Failure to respond may result in default, with allegations deemed true.</w:t>
      </w:r>
    </w:p>
    <w:p w14:paraId="7AA2C48C" w14:textId="77777777" w:rsidR="0066030A" w:rsidRPr="0066030A" w:rsidRDefault="0066030A" w:rsidP="0066030A">
      <w:pPr>
        <w:jc w:val="both"/>
        <w:rPr>
          <w:rFonts w:eastAsia="Times New Roman"/>
          <w:bCs/>
          <w:lang w:val="en-PH"/>
        </w:rPr>
      </w:pPr>
      <w:r w:rsidRPr="0066030A">
        <w:rPr>
          <w:rFonts w:eastAsia="Times New Roman"/>
          <w:bCs/>
          <w:lang w:val="en-PH"/>
        </w:rPr>
        <w:t>(Source: </w:t>
      </w:r>
      <w:hyperlink r:id="rId37" w:tgtFrame="_blank" w:history="1">
        <w:r w:rsidRPr="0066030A">
          <w:rPr>
            <w:rStyle w:val="Hyperlink"/>
            <w:rFonts w:eastAsia="Times New Roman"/>
            <w:bCs/>
            <w:color w:val="FF6E00"/>
            <w:lang w:val="en-PH"/>
          </w:rPr>
          <w:t>https://www.sec.gov/files/litigation/admin/2025/34-103840.pdf</w:t>
        </w:r>
      </w:hyperlink>
      <w:r w:rsidRPr="0066030A">
        <w:rPr>
          <w:rFonts w:eastAsia="Times New Roman"/>
          <w:bCs/>
          <w:lang w:val="en-PH"/>
        </w:rPr>
        <w:t>)</w:t>
      </w:r>
    </w:p>
    <w:p w14:paraId="066EB552" w14:textId="77777777" w:rsidR="00D0113E" w:rsidRDefault="00D0113E" w:rsidP="002C0F01">
      <w:pPr>
        <w:jc w:val="both"/>
        <w:rPr>
          <w:rFonts w:eastAsia="Times New Roman"/>
          <w:bCs/>
          <w:lang w:val="en-PH"/>
        </w:rPr>
      </w:pPr>
    </w:p>
    <w:p w14:paraId="63BD5C12" w14:textId="77777777" w:rsidR="002E340F" w:rsidRPr="002E340F" w:rsidRDefault="002E340F" w:rsidP="002E340F">
      <w:pPr>
        <w:jc w:val="both"/>
        <w:rPr>
          <w:b/>
          <w:bCs/>
          <w:color w:val="FF6E00"/>
          <w:lang w:val="en-PH"/>
        </w:rPr>
      </w:pPr>
      <w:r w:rsidRPr="002E340F">
        <w:rPr>
          <w:b/>
          <w:bCs/>
          <w:color w:val="FF6E00"/>
          <w:lang w:val="en-PH"/>
        </w:rPr>
        <w:t>United States CFTC Issues No-Action Relief for QCX Event Contracts</w:t>
      </w:r>
    </w:p>
    <w:p w14:paraId="0C04A8FA" w14:textId="77777777" w:rsidR="002E340F" w:rsidRPr="002E340F" w:rsidRDefault="002E340F" w:rsidP="002E340F">
      <w:pPr>
        <w:jc w:val="both"/>
        <w:rPr>
          <w:rFonts w:eastAsia="Times New Roman"/>
          <w:bCs/>
          <w:lang w:val="en-PH"/>
        </w:rPr>
      </w:pPr>
      <w:r w:rsidRPr="002E340F">
        <w:rPr>
          <w:rFonts w:eastAsia="Times New Roman"/>
          <w:bCs/>
          <w:lang w:val="en-PH"/>
        </w:rPr>
        <w:t>On 02 September 2025, the United States Commodity Futures Trading Commission (</w:t>
      </w:r>
      <w:r w:rsidRPr="002E340F">
        <w:rPr>
          <w:rFonts w:eastAsia="Times New Roman"/>
          <w:b/>
          <w:bCs/>
          <w:lang w:val="en-PH"/>
        </w:rPr>
        <w:t>US CFTC</w:t>
      </w:r>
      <w:r w:rsidRPr="002E340F">
        <w:rPr>
          <w:rFonts w:eastAsia="Times New Roman"/>
          <w:bCs/>
          <w:lang w:val="en-PH"/>
        </w:rPr>
        <w:t>) issued </w:t>
      </w:r>
      <w:hyperlink r:id="rId38" w:tgtFrame="_blank" w:history="1">
        <w:r w:rsidRPr="002E340F">
          <w:rPr>
            <w:rStyle w:val="Hyperlink"/>
            <w:rFonts w:eastAsia="Times New Roman"/>
            <w:bCs/>
            <w:color w:val="FF6E00"/>
            <w:u w:val="none"/>
            <w:lang w:val="en-PH"/>
          </w:rPr>
          <w:t>CFTC Letter No. 25-28</w:t>
        </w:r>
      </w:hyperlink>
      <w:r w:rsidRPr="002E340F">
        <w:rPr>
          <w:rFonts w:eastAsia="Times New Roman"/>
          <w:bCs/>
          <w:lang w:val="en-PH"/>
        </w:rPr>
        <w:t>, granting no-action relief to QCX LLC, a designated contract market, and QC Clearing LLC, a registered derivatives clearing organization. The US CFTC’s Division of Market Oversight and Division of Clearing and Risk confirmed that staff will not recommend enforcement actions for failure to comply with certain swap reporting and recordkeeping obligations in respect of fully collateralised binary option contracts and variable payout contracts executed under QCX rules. The relief applies under specific conditions and mirrors earlier no-action positions granted to other similarly situated market operators.</w:t>
      </w:r>
    </w:p>
    <w:p w14:paraId="29D346FA" w14:textId="77777777" w:rsidR="002E340F" w:rsidRPr="002E340F" w:rsidRDefault="002E340F" w:rsidP="002E340F">
      <w:pPr>
        <w:jc w:val="both"/>
        <w:rPr>
          <w:rFonts w:eastAsia="Times New Roman"/>
          <w:bCs/>
          <w:lang w:val="en-PH"/>
        </w:rPr>
      </w:pPr>
      <w:r w:rsidRPr="002E340F">
        <w:rPr>
          <w:rFonts w:eastAsia="Times New Roman"/>
          <w:bCs/>
          <w:i/>
          <w:iCs/>
          <w:lang w:val="en-PH"/>
        </w:rPr>
        <w:t>“QCEX requested a no-action position … from the swap data reporting and recordkeeping requirements of sections 38.8(b), 38.10, 38.951 (in part), 39.20(b)(2), along with Parts 43 and 45 of the Commission’s regulations.”</w:t>
      </w:r>
    </w:p>
    <w:p w14:paraId="2956BB97" w14:textId="77777777" w:rsidR="002E340F" w:rsidRPr="002E340F" w:rsidRDefault="002E340F" w:rsidP="002E340F">
      <w:pPr>
        <w:jc w:val="both"/>
        <w:rPr>
          <w:rFonts w:eastAsia="Times New Roman"/>
          <w:bCs/>
          <w:lang w:val="en-PH"/>
        </w:rPr>
      </w:pPr>
      <w:r w:rsidRPr="002E340F">
        <w:rPr>
          <w:rFonts w:eastAsia="Times New Roman"/>
          <w:b/>
          <w:bCs/>
          <w:lang w:val="en-PH"/>
        </w:rPr>
        <w:t>Background and Procedural Context</w:t>
      </w:r>
    </w:p>
    <w:p w14:paraId="7F67505D" w14:textId="77777777" w:rsidR="002E340F" w:rsidRPr="002E340F" w:rsidRDefault="002E340F" w:rsidP="002E340F">
      <w:pPr>
        <w:jc w:val="both"/>
        <w:rPr>
          <w:rFonts w:eastAsia="Times New Roman"/>
          <w:bCs/>
          <w:lang w:val="en-PH"/>
        </w:rPr>
      </w:pPr>
      <w:r w:rsidRPr="002E340F">
        <w:rPr>
          <w:rFonts w:eastAsia="Times New Roman"/>
          <w:bCs/>
          <w:lang w:val="en-PH"/>
        </w:rPr>
        <w:lastRenderedPageBreak/>
        <w:t>QCX LLC and QC Clearing LLC sought relief for listing fully collateralised option contracts that function as either binary contracts (all-or-nothing settlement) or variable payout contracts (pro-rated settlement based on final settlement price).</w:t>
      </w:r>
    </w:p>
    <w:p w14:paraId="39830F0C" w14:textId="77777777" w:rsidR="002E340F" w:rsidRPr="002E340F" w:rsidRDefault="002E340F" w:rsidP="002E340F">
      <w:pPr>
        <w:jc w:val="both"/>
        <w:rPr>
          <w:rFonts w:eastAsia="Times New Roman"/>
          <w:bCs/>
          <w:lang w:val="en-PH"/>
        </w:rPr>
      </w:pPr>
      <w:r w:rsidRPr="002E340F">
        <w:rPr>
          <w:rFonts w:eastAsia="Times New Roman"/>
          <w:bCs/>
          <w:lang w:val="en-PH"/>
        </w:rPr>
        <w:t>Although these contracts fall within the statutory definition of a “swap” under the Commodity Exchange Act, QCX characterised them as structurally closer to exchange-traded options on futures, and argued that strict swap reporting under Parts 43 and 45 would not align with their market structure.</w:t>
      </w:r>
    </w:p>
    <w:p w14:paraId="73E52496" w14:textId="77777777" w:rsidR="002E340F" w:rsidRPr="002E340F" w:rsidRDefault="002E340F" w:rsidP="002E340F">
      <w:pPr>
        <w:jc w:val="both"/>
        <w:rPr>
          <w:rFonts w:eastAsia="Times New Roman"/>
          <w:bCs/>
          <w:lang w:val="en-PH"/>
        </w:rPr>
      </w:pPr>
      <w:r w:rsidRPr="002E340F">
        <w:rPr>
          <w:rFonts w:eastAsia="Times New Roman"/>
          <w:b/>
          <w:bCs/>
          <w:lang w:val="en-PH"/>
        </w:rPr>
        <w:t>CFTC No-Action Position</w:t>
      </w:r>
    </w:p>
    <w:p w14:paraId="38B9778B" w14:textId="77777777" w:rsidR="002E340F" w:rsidRPr="002E340F" w:rsidRDefault="002E340F" w:rsidP="002E340F">
      <w:pPr>
        <w:jc w:val="both"/>
        <w:rPr>
          <w:rFonts w:eastAsia="Times New Roman"/>
          <w:bCs/>
          <w:lang w:val="en-PH"/>
        </w:rPr>
      </w:pPr>
      <w:r w:rsidRPr="002E340F">
        <w:rPr>
          <w:rFonts w:eastAsia="Times New Roman"/>
          <w:bCs/>
          <w:lang w:val="en-PH"/>
        </w:rPr>
        <w:t>The US CFTC granted relief on the basis of strict conditions, including:</w:t>
      </w:r>
    </w:p>
    <w:p w14:paraId="3E2BDC73" w14:textId="77777777" w:rsidR="002E340F" w:rsidRPr="002E340F" w:rsidRDefault="002E340F" w:rsidP="002E340F">
      <w:pPr>
        <w:numPr>
          <w:ilvl w:val="0"/>
          <w:numId w:val="146"/>
        </w:numPr>
        <w:jc w:val="both"/>
        <w:rPr>
          <w:rFonts w:eastAsia="Times New Roman"/>
          <w:bCs/>
          <w:lang w:val="en-PH"/>
        </w:rPr>
      </w:pPr>
      <w:r w:rsidRPr="002E340F">
        <w:rPr>
          <w:rFonts w:eastAsia="Times New Roman"/>
          <w:bCs/>
          <w:lang w:val="en-PH"/>
        </w:rPr>
        <w:t>All contracts must be fully collateralised as defined in Regulation 39.2.</w:t>
      </w:r>
    </w:p>
    <w:p w14:paraId="33B4F029" w14:textId="77777777" w:rsidR="002E340F" w:rsidRPr="002E340F" w:rsidRDefault="002E340F" w:rsidP="002E340F">
      <w:pPr>
        <w:numPr>
          <w:ilvl w:val="0"/>
          <w:numId w:val="146"/>
        </w:numPr>
        <w:jc w:val="both"/>
        <w:rPr>
          <w:rFonts w:eastAsia="Times New Roman"/>
          <w:bCs/>
          <w:lang w:val="en-PH"/>
        </w:rPr>
      </w:pPr>
      <w:r w:rsidRPr="002E340F">
        <w:rPr>
          <w:rFonts w:eastAsia="Times New Roman"/>
          <w:bCs/>
          <w:lang w:val="en-PH"/>
        </w:rPr>
        <w:t>Contracts must clear exclusively through QC Clearing.</w:t>
      </w:r>
    </w:p>
    <w:p w14:paraId="3F6E1A34" w14:textId="77777777" w:rsidR="002E340F" w:rsidRPr="002E340F" w:rsidRDefault="002E340F" w:rsidP="002E340F">
      <w:pPr>
        <w:numPr>
          <w:ilvl w:val="0"/>
          <w:numId w:val="146"/>
        </w:numPr>
        <w:jc w:val="both"/>
        <w:rPr>
          <w:rFonts w:eastAsia="Times New Roman"/>
          <w:bCs/>
          <w:lang w:val="en-PH"/>
        </w:rPr>
      </w:pPr>
      <w:r w:rsidRPr="002E340F">
        <w:rPr>
          <w:rFonts w:eastAsia="Times New Roman"/>
          <w:bCs/>
          <w:lang w:val="en-PH"/>
        </w:rPr>
        <w:t>QCX must publish trade data (timestamp, contract, quantity, price) promptly on its website.</w:t>
      </w:r>
    </w:p>
    <w:p w14:paraId="7DF01767" w14:textId="77777777" w:rsidR="002E340F" w:rsidRPr="002E340F" w:rsidRDefault="002E340F" w:rsidP="002E340F">
      <w:pPr>
        <w:numPr>
          <w:ilvl w:val="0"/>
          <w:numId w:val="146"/>
        </w:numPr>
        <w:jc w:val="both"/>
        <w:rPr>
          <w:rFonts w:eastAsia="Times New Roman"/>
          <w:bCs/>
          <w:lang w:val="en-PH"/>
        </w:rPr>
      </w:pPr>
      <w:r w:rsidRPr="002E340F">
        <w:rPr>
          <w:rFonts w:eastAsia="Times New Roman"/>
          <w:bCs/>
          <w:lang w:val="en-PH"/>
        </w:rPr>
        <w:t>QCX must provide transactional information to the CFTC under Regulation 16.02.</w:t>
      </w:r>
    </w:p>
    <w:p w14:paraId="7EBEB470" w14:textId="77777777" w:rsidR="002E340F" w:rsidRPr="002E340F" w:rsidRDefault="002E340F" w:rsidP="002E340F">
      <w:pPr>
        <w:numPr>
          <w:ilvl w:val="0"/>
          <w:numId w:val="146"/>
        </w:numPr>
        <w:jc w:val="both"/>
        <w:rPr>
          <w:rFonts w:eastAsia="Times New Roman"/>
          <w:bCs/>
          <w:lang w:val="en-PH"/>
        </w:rPr>
      </w:pPr>
      <w:r w:rsidRPr="002E340F">
        <w:rPr>
          <w:rFonts w:eastAsia="Times New Roman"/>
          <w:bCs/>
          <w:lang w:val="en-PH"/>
        </w:rPr>
        <w:t>Records must remain open to inspection by the CFTC, DOJ, SEC, or prudential regulators.</w:t>
      </w:r>
    </w:p>
    <w:p w14:paraId="751D2DC9" w14:textId="77777777" w:rsidR="002E340F" w:rsidRPr="002E340F" w:rsidRDefault="002E340F" w:rsidP="002E340F">
      <w:pPr>
        <w:jc w:val="both"/>
        <w:rPr>
          <w:rFonts w:eastAsia="Times New Roman"/>
          <w:bCs/>
          <w:lang w:val="en-PH"/>
        </w:rPr>
      </w:pPr>
      <w:r w:rsidRPr="002E340F">
        <w:rPr>
          <w:rFonts w:eastAsia="Times New Roman"/>
          <w:bCs/>
          <w:lang w:val="en-PH"/>
        </w:rPr>
        <w:t>The No-Action letter states that the relief is limited to staff’s no-action discretion and does not represent a binding Commission view.</w:t>
      </w:r>
    </w:p>
    <w:p w14:paraId="714CF685" w14:textId="6464C767" w:rsidR="002E340F" w:rsidRPr="002E340F" w:rsidRDefault="002E340F" w:rsidP="002E340F">
      <w:pPr>
        <w:jc w:val="both"/>
        <w:rPr>
          <w:rFonts w:eastAsia="Times New Roman"/>
          <w:bCs/>
          <w:lang w:val="en-PH"/>
        </w:rPr>
      </w:pPr>
      <w:r w:rsidRPr="002E340F">
        <w:rPr>
          <w:rFonts w:eastAsia="Times New Roman"/>
          <w:bCs/>
          <w:lang w:val="en-PH"/>
        </w:rPr>
        <w:t>This no-action letter gives QCX breathing room by exempting its binary and variable payout contracts from full swap reporting rules, provided they remain fully collateralised and transparent.</w:t>
      </w:r>
    </w:p>
    <w:p w14:paraId="309A4853" w14:textId="77777777" w:rsidR="002E340F" w:rsidRPr="002E340F" w:rsidRDefault="002E340F" w:rsidP="002E340F">
      <w:pPr>
        <w:jc w:val="both"/>
        <w:rPr>
          <w:rFonts w:eastAsia="Times New Roman"/>
          <w:bCs/>
          <w:lang w:val="en-PH"/>
        </w:rPr>
      </w:pPr>
      <w:r w:rsidRPr="002E340F">
        <w:rPr>
          <w:rFonts w:eastAsia="Times New Roman"/>
          <w:bCs/>
          <w:lang w:val="en-PH"/>
        </w:rPr>
        <w:t>(Source: </w:t>
      </w:r>
      <w:hyperlink r:id="rId39" w:tgtFrame="_blank" w:history="1">
        <w:r w:rsidRPr="002E340F">
          <w:rPr>
            <w:rStyle w:val="Hyperlink"/>
            <w:rFonts w:eastAsia="Times New Roman"/>
            <w:bCs/>
            <w:color w:val="FF6E00"/>
            <w:lang w:val="en-PH"/>
          </w:rPr>
          <w:t>https://www.cftc.gov/PressRoom/PressReleases/9113-25</w:t>
        </w:r>
      </w:hyperlink>
      <w:r w:rsidRPr="002E340F">
        <w:rPr>
          <w:rFonts w:eastAsia="Times New Roman"/>
          <w:bCs/>
          <w:lang w:val="en-PH"/>
        </w:rPr>
        <w:t>)</w:t>
      </w:r>
    </w:p>
    <w:p w14:paraId="21EE47BB" w14:textId="77777777" w:rsidR="00D0113E" w:rsidRDefault="00D0113E" w:rsidP="002C0F01">
      <w:pPr>
        <w:jc w:val="both"/>
        <w:rPr>
          <w:rFonts w:eastAsia="Times New Roman"/>
          <w:bCs/>
          <w:lang w:val="en-PH"/>
        </w:rPr>
      </w:pPr>
    </w:p>
    <w:p w14:paraId="6149D072" w14:textId="77777777" w:rsidR="00680AB6" w:rsidRPr="00680AB6" w:rsidRDefault="00680AB6" w:rsidP="00680AB6">
      <w:pPr>
        <w:jc w:val="both"/>
        <w:rPr>
          <w:b/>
          <w:bCs/>
          <w:color w:val="FF6E00"/>
          <w:lang w:val="en-PH"/>
        </w:rPr>
      </w:pPr>
      <w:r w:rsidRPr="00680AB6">
        <w:rPr>
          <w:b/>
          <w:bCs/>
          <w:color w:val="FF6E00"/>
          <w:lang w:val="en-PH"/>
        </w:rPr>
        <w:t>United States SEC and CFTC Issue Joint Staff Statement on Spot Crypto Asset Trading</w:t>
      </w:r>
    </w:p>
    <w:p w14:paraId="01BD5DEE" w14:textId="77777777" w:rsidR="00680AB6" w:rsidRPr="00680AB6" w:rsidRDefault="00680AB6" w:rsidP="00680AB6">
      <w:pPr>
        <w:jc w:val="both"/>
        <w:rPr>
          <w:rFonts w:eastAsia="Times New Roman"/>
          <w:bCs/>
          <w:lang w:val="en-PH"/>
        </w:rPr>
      </w:pPr>
      <w:r w:rsidRPr="00680AB6">
        <w:rPr>
          <w:rFonts w:eastAsia="Times New Roman"/>
          <w:bCs/>
          <w:lang w:val="en-PH"/>
        </w:rPr>
        <w:t>On 2 September 2025, the United States Securities and Exchange Commission (</w:t>
      </w:r>
      <w:r w:rsidRPr="00680AB6">
        <w:rPr>
          <w:rFonts w:eastAsia="Times New Roman"/>
          <w:b/>
          <w:bCs/>
          <w:lang w:val="en-PH"/>
        </w:rPr>
        <w:t>US SEC</w:t>
      </w:r>
      <w:r w:rsidRPr="00680AB6">
        <w:rPr>
          <w:rFonts w:eastAsia="Times New Roman"/>
          <w:bCs/>
          <w:lang w:val="en-PH"/>
        </w:rPr>
        <w:t>) Division of Trading and Markets and the United States Commodity Futures Trading Commission (</w:t>
      </w:r>
      <w:r w:rsidRPr="00680AB6">
        <w:rPr>
          <w:rFonts w:eastAsia="Times New Roman"/>
          <w:b/>
          <w:bCs/>
          <w:lang w:val="en-PH"/>
        </w:rPr>
        <w:t>US CFTC</w:t>
      </w:r>
      <w:r w:rsidRPr="00680AB6">
        <w:rPr>
          <w:rFonts w:eastAsia="Times New Roman"/>
          <w:bCs/>
          <w:lang w:val="en-PH"/>
        </w:rPr>
        <w:t>) Divisions of Market Oversight and Clearing and Risk released a </w:t>
      </w:r>
      <w:hyperlink r:id="rId40" w:tgtFrame="_blank" w:history="1">
        <w:r w:rsidRPr="00680AB6">
          <w:rPr>
            <w:rStyle w:val="Hyperlink"/>
            <w:rFonts w:eastAsia="Times New Roman"/>
            <w:bCs/>
            <w:color w:val="FF6E00"/>
            <w:u w:val="none"/>
            <w:lang w:val="en-PH"/>
          </w:rPr>
          <w:t>joint staff statement</w:t>
        </w:r>
      </w:hyperlink>
      <w:r w:rsidRPr="00680AB6">
        <w:rPr>
          <w:rFonts w:eastAsia="Times New Roman"/>
          <w:bCs/>
          <w:lang w:val="en-PH"/>
        </w:rPr>
        <w:t> under Project Crypto and the Crypto Sprint. The initiative is designed to coordinate cross-agency efforts on enabling the trading of certain spot crypto asset products in the United States. The statement draws on recommendations from the President’s Working Group on Digital Asset Markets (</w:t>
      </w:r>
      <w:r w:rsidRPr="00680AB6">
        <w:rPr>
          <w:rFonts w:eastAsia="Times New Roman"/>
          <w:b/>
          <w:bCs/>
          <w:lang w:val="en-PH"/>
        </w:rPr>
        <w:t>PWG Report</w:t>
      </w:r>
      <w:r w:rsidRPr="00680AB6">
        <w:rPr>
          <w:rFonts w:eastAsia="Times New Roman"/>
          <w:bCs/>
          <w:lang w:val="en-PH"/>
        </w:rPr>
        <w:t>) which called for the US SEC and US CFTC to use existing powers to promote regulatory clarity and ensure blockchain innovation remains within the United States.</w:t>
      </w:r>
    </w:p>
    <w:p w14:paraId="58C91361" w14:textId="77777777" w:rsidR="00680AB6" w:rsidRPr="00680AB6" w:rsidRDefault="00680AB6" w:rsidP="00680AB6">
      <w:pPr>
        <w:jc w:val="both"/>
        <w:rPr>
          <w:rFonts w:eastAsia="Times New Roman"/>
          <w:bCs/>
          <w:lang w:val="en-PH"/>
        </w:rPr>
      </w:pPr>
      <w:r w:rsidRPr="00680AB6">
        <w:rPr>
          <w:rFonts w:eastAsia="Times New Roman"/>
          <w:b/>
          <w:bCs/>
          <w:lang w:val="en-PH"/>
        </w:rPr>
        <w:t>Legal Framework for Spot Crypto Commodity Products</w:t>
      </w:r>
    </w:p>
    <w:p w14:paraId="34F9641D" w14:textId="77777777" w:rsidR="00680AB6" w:rsidRPr="00680AB6" w:rsidRDefault="00680AB6" w:rsidP="00680AB6">
      <w:pPr>
        <w:jc w:val="both"/>
        <w:rPr>
          <w:rFonts w:eastAsia="Times New Roman"/>
          <w:bCs/>
          <w:lang w:val="en-PH"/>
        </w:rPr>
      </w:pPr>
      <w:r w:rsidRPr="00680AB6">
        <w:rPr>
          <w:rFonts w:eastAsia="Times New Roman"/>
          <w:bCs/>
          <w:lang w:val="en-PH"/>
        </w:rPr>
        <w:t>The joint staff statement clarifies that current law does not prohibit exchanges registered with the US SEC or US CFTC from facilitating trading of certain spot crypto asset products. Under the Commodity Exchange Act, leveraged, margined or financed retail commodity transactions generally must be conducted on a CFTC-registered designated contract market (</w:t>
      </w:r>
      <w:r w:rsidRPr="00680AB6">
        <w:rPr>
          <w:rFonts w:eastAsia="Times New Roman"/>
          <w:b/>
          <w:bCs/>
          <w:lang w:val="en-PH"/>
        </w:rPr>
        <w:t>DCM</w:t>
      </w:r>
      <w:r w:rsidRPr="00680AB6">
        <w:rPr>
          <w:rFonts w:eastAsia="Times New Roman"/>
          <w:bCs/>
          <w:lang w:val="en-PH"/>
        </w:rPr>
        <w:t>) or foreign board of trade (</w:t>
      </w:r>
      <w:r w:rsidRPr="00680AB6">
        <w:rPr>
          <w:rFonts w:eastAsia="Times New Roman"/>
          <w:b/>
          <w:bCs/>
          <w:lang w:val="en-PH"/>
        </w:rPr>
        <w:t>FBOT</w:t>
      </w:r>
      <w:r w:rsidRPr="00680AB6">
        <w:rPr>
          <w:rFonts w:eastAsia="Times New Roman"/>
          <w:bCs/>
          <w:lang w:val="en-PH"/>
        </w:rPr>
        <w:t>). One exception applies when such transactions are listed on an SEC-registered national securities exchange (</w:t>
      </w:r>
      <w:r w:rsidRPr="00680AB6">
        <w:rPr>
          <w:rFonts w:eastAsia="Times New Roman"/>
          <w:b/>
          <w:bCs/>
          <w:lang w:val="en-PH"/>
        </w:rPr>
        <w:t>NSE</w:t>
      </w:r>
      <w:r w:rsidRPr="00680AB6">
        <w:rPr>
          <w:rFonts w:eastAsia="Times New Roman"/>
          <w:bCs/>
          <w:lang w:val="en-PH"/>
        </w:rPr>
        <w:t>). The Divisions confirmed that DCMs, FBOTs and NSEs are permitted to facilitate spot crypto asset products, giving US market participants more venue choice and flexibility.</w:t>
      </w:r>
    </w:p>
    <w:p w14:paraId="5E827F08" w14:textId="77777777" w:rsidR="00680AB6" w:rsidRPr="00680AB6" w:rsidRDefault="00680AB6" w:rsidP="00680AB6">
      <w:pPr>
        <w:jc w:val="both"/>
        <w:rPr>
          <w:rFonts w:eastAsia="Times New Roman"/>
          <w:bCs/>
          <w:lang w:val="en-PH"/>
        </w:rPr>
      </w:pPr>
      <w:r w:rsidRPr="00680AB6">
        <w:rPr>
          <w:rFonts w:eastAsia="Times New Roman"/>
          <w:b/>
          <w:bCs/>
          <w:lang w:val="en-PH"/>
        </w:rPr>
        <w:lastRenderedPageBreak/>
        <w:t>Considerations for Market Participants</w:t>
      </w:r>
    </w:p>
    <w:p w14:paraId="4F502F38" w14:textId="77777777" w:rsidR="00680AB6" w:rsidRPr="00680AB6" w:rsidRDefault="00680AB6" w:rsidP="00680AB6">
      <w:pPr>
        <w:jc w:val="both"/>
        <w:rPr>
          <w:rFonts w:eastAsia="Times New Roman"/>
          <w:bCs/>
          <w:lang w:val="en-PH"/>
        </w:rPr>
      </w:pPr>
      <w:r w:rsidRPr="00680AB6">
        <w:rPr>
          <w:rFonts w:eastAsia="Times New Roman"/>
          <w:bCs/>
          <w:lang w:val="en-PH"/>
        </w:rPr>
        <w:t>The staff outlined key operational considerations for exchanges, clearinghouses and custodians preparing to engage in spot crypto trading. Clearinghouses may partner with custodians to maintain customer accounts, with the SEC’s Division of Trading and Markets ready to address questions from registered clearing agencies, and the CFTC’s Division of Clearing and Risk available for enquiries from derivatives clearing organizations. Surveillance and monitoring will be enhanced by sharing reference pricing data between NSEs, DCMs and FBOTs. Public dissemination of trade data by SEC- and CFTC-registered exchanges was identified as an important mechanism for transparency. The Divisions also highlighted that efficient executions and transparent processes remain essential to promoting fair and orderly markets. Innovation is encouraged, but with a continued emphasis on investor and customer protections.</w:t>
      </w:r>
    </w:p>
    <w:p w14:paraId="523064F7" w14:textId="77777777" w:rsidR="00680AB6" w:rsidRPr="00680AB6" w:rsidRDefault="00680AB6" w:rsidP="00680AB6">
      <w:pPr>
        <w:jc w:val="both"/>
        <w:rPr>
          <w:rFonts w:eastAsia="Times New Roman"/>
          <w:bCs/>
          <w:lang w:val="en-PH"/>
        </w:rPr>
      </w:pPr>
      <w:r w:rsidRPr="00680AB6">
        <w:rPr>
          <w:rFonts w:eastAsia="Times New Roman"/>
          <w:b/>
          <w:bCs/>
          <w:lang w:val="en-PH"/>
        </w:rPr>
        <w:t>Regulatory Coordination and Market Impact</w:t>
      </w:r>
    </w:p>
    <w:p w14:paraId="259E279B" w14:textId="77777777" w:rsidR="00680AB6" w:rsidRPr="00680AB6" w:rsidRDefault="00680AB6" w:rsidP="00680AB6">
      <w:pPr>
        <w:jc w:val="both"/>
        <w:rPr>
          <w:rFonts w:eastAsia="Times New Roman"/>
          <w:bCs/>
          <w:lang w:val="en-PH"/>
        </w:rPr>
      </w:pPr>
      <w:r w:rsidRPr="00680AB6">
        <w:rPr>
          <w:rFonts w:eastAsia="Times New Roman"/>
          <w:bCs/>
          <w:lang w:val="en-PH"/>
        </w:rPr>
        <w:t>The US SEC and US CFTC emphasised that this joint initiative is intended to support a competitive and innovative market structure for crypto assets while ensuring investor safeguards. By working together, the agencies aim to reduce confusion caused by overlapping or divergent interpretations and create a framework where exchanges can confidently seek approval to list spot crypto products. The Divisions confirmed that filings and requests from market operators will be reviewed promptly, underscoring their readiness to engage with stakeholders.</w:t>
      </w:r>
    </w:p>
    <w:p w14:paraId="3F6230E9" w14:textId="77777777" w:rsidR="00680AB6" w:rsidRPr="00680AB6" w:rsidRDefault="00680AB6" w:rsidP="00680AB6">
      <w:pPr>
        <w:jc w:val="both"/>
        <w:rPr>
          <w:rFonts w:eastAsia="Times New Roman"/>
          <w:bCs/>
          <w:lang w:val="en-PH"/>
        </w:rPr>
      </w:pPr>
      <w:r w:rsidRPr="00680AB6">
        <w:rPr>
          <w:rFonts w:eastAsia="Times New Roman"/>
          <w:b/>
          <w:bCs/>
          <w:lang w:val="en-PH"/>
        </w:rPr>
        <w:t>US Regulators Advance Project Crypto-Crypto Sprint</w:t>
      </w:r>
    </w:p>
    <w:p w14:paraId="25AE987C" w14:textId="5B440DE1" w:rsidR="00680AB6" w:rsidRPr="00680AB6" w:rsidRDefault="00680AB6" w:rsidP="00680AB6">
      <w:pPr>
        <w:jc w:val="both"/>
        <w:rPr>
          <w:rFonts w:eastAsia="Times New Roman"/>
          <w:bCs/>
          <w:lang w:val="en-PH"/>
        </w:rPr>
      </w:pPr>
      <w:r w:rsidRPr="00680AB6">
        <w:rPr>
          <w:rFonts w:eastAsia="Times New Roman"/>
          <w:bCs/>
          <w:lang w:val="en-PH"/>
        </w:rPr>
        <w:t>The United States SEC and CFTC joint staff clarifies that registered exchanges are permitted to facilitate spot crypto asset trading, the agencies have provided regulatory certainty, reinforced the objectives of the PWG Report and supported the integration of blockchain innovation into the US financial system.</w:t>
      </w:r>
    </w:p>
    <w:p w14:paraId="361CA0D1" w14:textId="77777777" w:rsidR="00680AB6" w:rsidRPr="00680AB6" w:rsidRDefault="00680AB6" w:rsidP="00680AB6">
      <w:pPr>
        <w:jc w:val="both"/>
        <w:rPr>
          <w:rFonts w:eastAsia="Times New Roman"/>
          <w:bCs/>
          <w:lang w:val="en-PH"/>
        </w:rPr>
      </w:pPr>
      <w:r w:rsidRPr="00680AB6">
        <w:rPr>
          <w:rFonts w:eastAsia="Times New Roman"/>
          <w:bCs/>
          <w:lang w:val="en-PH"/>
        </w:rPr>
        <w:t>(Source: </w:t>
      </w:r>
      <w:hyperlink r:id="rId41" w:tgtFrame="_blank" w:history="1">
        <w:r w:rsidRPr="00680AB6">
          <w:rPr>
            <w:rStyle w:val="Hyperlink"/>
            <w:rFonts w:eastAsia="Times New Roman"/>
            <w:bCs/>
            <w:color w:val="FF6E00"/>
            <w:lang w:val="en-PH"/>
          </w:rPr>
          <w:t>https://www.sec.gov/newsroom/speeches-statements/sec-cftc-project-crypto-090225</w:t>
        </w:r>
      </w:hyperlink>
      <w:r w:rsidRPr="00680AB6">
        <w:rPr>
          <w:rFonts w:eastAsia="Times New Roman"/>
          <w:bCs/>
          <w:lang w:val="en-PH"/>
        </w:rPr>
        <w:t>)</w:t>
      </w:r>
    </w:p>
    <w:p w14:paraId="0820AE2B" w14:textId="77777777" w:rsidR="00D0113E" w:rsidRDefault="00D0113E" w:rsidP="002C0F01">
      <w:pPr>
        <w:jc w:val="both"/>
        <w:rPr>
          <w:rFonts w:eastAsia="Times New Roman"/>
          <w:bCs/>
          <w:lang w:val="en-PH"/>
        </w:rPr>
      </w:pPr>
    </w:p>
    <w:p w14:paraId="71F482E3" w14:textId="77777777" w:rsidR="001F4244" w:rsidRPr="001F4244" w:rsidRDefault="001F4244" w:rsidP="001F4244">
      <w:pPr>
        <w:jc w:val="both"/>
        <w:rPr>
          <w:b/>
          <w:bCs/>
          <w:color w:val="FF6E00"/>
          <w:lang w:val="en-PH"/>
        </w:rPr>
      </w:pPr>
      <w:r w:rsidRPr="001F4244">
        <w:rPr>
          <w:b/>
          <w:bCs/>
          <w:color w:val="FF6E00"/>
          <w:lang w:val="en-PH"/>
        </w:rPr>
        <w:t>US CFTC and SEC Staff Clarify Rules on Trading of Spot Crypto Asset Products</w:t>
      </w:r>
    </w:p>
    <w:p w14:paraId="6514E282" w14:textId="77777777" w:rsidR="001F4244" w:rsidRPr="001F4244" w:rsidRDefault="001F4244" w:rsidP="001F4244">
      <w:pPr>
        <w:jc w:val="both"/>
        <w:rPr>
          <w:rFonts w:eastAsia="Times New Roman"/>
          <w:bCs/>
          <w:lang w:val="en-PH"/>
        </w:rPr>
      </w:pPr>
      <w:r w:rsidRPr="001F4244">
        <w:rPr>
          <w:rFonts w:eastAsia="Times New Roman"/>
          <w:bCs/>
          <w:lang w:val="en-PH"/>
        </w:rPr>
        <w:t>On 2 September 2025, staff of the United States Commodity Futures Trading Commission (</w:t>
      </w:r>
      <w:r w:rsidRPr="001F4244">
        <w:rPr>
          <w:rFonts w:eastAsia="Times New Roman"/>
          <w:b/>
          <w:bCs/>
          <w:lang w:val="en-PH"/>
        </w:rPr>
        <w:t>US CFTC</w:t>
      </w:r>
      <w:r w:rsidRPr="001F4244">
        <w:rPr>
          <w:rFonts w:eastAsia="Times New Roman"/>
          <w:bCs/>
          <w:lang w:val="en-PH"/>
        </w:rPr>
        <w:t>) and the United States Securities and Exchange Commission (</w:t>
      </w:r>
      <w:r w:rsidRPr="001F4244">
        <w:rPr>
          <w:rFonts w:eastAsia="Times New Roman"/>
          <w:b/>
          <w:bCs/>
          <w:lang w:val="en-PH"/>
        </w:rPr>
        <w:t>US SEC</w:t>
      </w:r>
      <w:r w:rsidRPr="001F4244">
        <w:rPr>
          <w:rFonts w:eastAsia="Times New Roman"/>
          <w:bCs/>
          <w:lang w:val="en-PH"/>
        </w:rPr>
        <w:t>) issued a joint statement confirming that exchanges registered with either regulator are not prohibited from facilitating the trading of certain spot crypto asset products. This is a coordinated regulatory approach designed to enhance trading venue choice and strengthen market confidence in the United States.</w:t>
      </w:r>
    </w:p>
    <w:p w14:paraId="6D428ADD" w14:textId="77777777" w:rsidR="001F4244" w:rsidRPr="001F4244" w:rsidRDefault="001F4244" w:rsidP="001F4244">
      <w:pPr>
        <w:jc w:val="both"/>
        <w:rPr>
          <w:rFonts w:eastAsia="Times New Roman"/>
          <w:bCs/>
          <w:lang w:val="en-PH"/>
        </w:rPr>
      </w:pPr>
      <w:r w:rsidRPr="001F4244">
        <w:rPr>
          <w:rFonts w:eastAsia="Times New Roman"/>
          <w:b/>
          <w:bCs/>
          <w:lang w:val="en-PH"/>
        </w:rPr>
        <w:t>Agency Leaders Signal Pro-Innovation Shift</w:t>
      </w:r>
    </w:p>
    <w:p w14:paraId="2CD620DF" w14:textId="77777777" w:rsidR="001F4244" w:rsidRPr="001F4244" w:rsidRDefault="001F4244" w:rsidP="001F4244">
      <w:pPr>
        <w:jc w:val="both"/>
        <w:rPr>
          <w:rFonts w:eastAsia="Times New Roman"/>
          <w:bCs/>
          <w:lang w:val="en-PH"/>
        </w:rPr>
      </w:pPr>
      <w:r w:rsidRPr="001F4244">
        <w:rPr>
          <w:rFonts w:eastAsia="Times New Roman"/>
          <w:bCs/>
          <w:lang w:val="en-PH"/>
        </w:rPr>
        <w:t>US CFTC Acting Chairman Caroline D. Pham stressed that the joint statement represents a break from the inconsistent approach of prior administrations. She said: </w:t>
      </w:r>
      <w:r w:rsidRPr="001F4244">
        <w:rPr>
          <w:rFonts w:eastAsia="Times New Roman"/>
          <w:bCs/>
          <w:i/>
          <w:iCs/>
          <w:lang w:val="en-PH"/>
        </w:rPr>
        <w:t>“Under the prior administration, our agencies sent mixed signals about regulation and compliance in digital asset markets, but the message was clear: innovation was not welcome. That chapter is over. By working together, we can empower American innovation in these markets and build on President Trump’s collaborative approach to making America the crypto capital of the world.”</w:t>
      </w:r>
    </w:p>
    <w:p w14:paraId="2DB7C3BC" w14:textId="77777777" w:rsidR="001F4244" w:rsidRPr="001F4244" w:rsidRDefault="001F4244" w:rsidP="001F4244">
      <w:pPr>
        <w:jc w:val="both"/>
        <w:rPr>
          <w:rFonts w:eastAsia="Times New Roman"/>
          <w:bCs/>
          <w:lang w:val="en-PH"/>
        </w:rPr>
      </w:pPr>
      <w:r w:rsidRPr="001F4244">
        <w:rPr>
          <w:rFonts w:eastAsia="Times New Roman"/>
          <w:bCs/>
          <w:lang w:val="en-PH"/>
        </w:rPr>
        <w:t>US SEC Chairman Paul S. Atkins emphasised market choice and competition, noting: </w:t>
      </w:r>
      <w:r w:rsidRPr="001F4244">
        <w:rPr>
          <w:rFonts w:eastAsia="Times New Roman"/>
          <w:bCs/>
          <w:i/>
          <w:iCs/>
          <w:lang w:val="en-PH"/>
        </w:rPr>
        <w:t xml:space="preserve">“Today’s joint staff statement represents a significant step forward in bringing innovation in the crypto asset markets back to </w:t>
      </w:r>
      <w:r w:rsidRPr="001F4244">
        <w:rPr>
          <w:rFonts w:eastAsia="Times New Roman"/>
          <w:bCs/>
          <w:i/>
          <w:iCs/>
          <w:lang w:val="en-PH"/>
        </w:rPr>
        <w:lastRenderedPageBreak/>
        <w:t>America. Market participants should have the freedom to choose where they trade spot crypto assets. The SEC is committed to working with the CFTC to ensure that our regulatory frameworks support innovation and competition in these rapidly evolving markets.”</w:t>
      </w:r>
    </w:p>
    <w:p w14:paraId="7DDCCA07" w14:textId="77777777" w:rsidR="001F4244" w:rsidRPr="001F4244" w:rsidRDefault="001F4244" w:rsidP="001F4244">
      <w:pPr>
        <w:jc w:val="both"/>
        <w:rPr>
          <w:rFonts w:eastAsia="Times New Roman"/>
          <w:bCs/>
          <w:lang w:val="en-PH"/>
        </w:rPr>
      </w:pPr>
      <w:r w:rsidRPr="001F4244">
        <w:rPr>
          <w:rFonts w:eastAsia="Times New Roman"/>
          <w:b/>
          <w:bCs/>
          <w:lang w:val="en-PH"/>
        </w:rPr>
        <w:t>Integration of Project Crypto and the Crypto Sprint</w:t>
      </w:r>
    </w:p>
    <w:p w14:paraId="0B7A8A50" w14:textId="7ED43356" w:rsidR="001F4244" w:rsidRPr="001F4244" w:rsidRDefault="001F4244" w:rsidP="001F4244">
      <w:pPr>
        <w:jc w:val="both"/>
        <w:rPr>
          <w:rFonts w:eastAsia="Times New Roman"/>
          <w:bCs/>
          <w:lang w:val="en-PH"/>
        </w:rPr>
      </w:pPr>
      <w:r w:rsidRPr="001F4244">
        <w:rPr>
          <w:rFonts w:eastAsia="Times New Roman"/>
          <w:bCs/>
          <w:lang w:val="en-PH"/>
        </w:rPr>
        <w:t>The initiative is coordinated by the SEC’s Division of Trading and Markets and the CFTC’s Divisions of Market Oversight and Clearing and Risk. It forms part of the SEC’s Project Crypto and the CFTC’s Crypto Sprint, both designed to establish regulatory clarity and facilitate responsible growth of digital asset markets. The joint statement also builds on the recommendations of the President’s Working Group on Digital Asset Markets report, </w:t>
      </w:r>
      <w:r w:rsidRPr="001F4244">
        <w:rPr>
          <w:rFonts w:eastAsia="Times New Roman"/>
          <w:bCs/>
          <w:i/>
          <w:iCs/>
          <w:lang w:val="en-PH"/>
        </w:rPr>
        <w:t>Strengthening American Leadership in Digital Financial Technology</w:t>
      </w:r>
      <w:r w:rsidRPr="001F4244">
        <w:rPr>
          <w:rFonts w:eastAsia="Times New Roman"/>
          <w:bCs/>
          <w:lang w:val="en-PH"/>
        </w:rPr>
        <w:t>, which called for regulators to use existing powers to encourage blockchain innovation within the United States.</w:t>
      </w:r>
    </w:p>
    <w:p w14:paraId="7718E172" w14:textId="77777777" w:rsidR="001F4244" w:rsidRPr="001F4244" w:rsidRDefault="001F4244" w:rsidP="001F4244">
      <w:pPr>
        <w:jc w:val="both"/>
        <w:rPr>
          <w:rFonts w:eastAsia="Times New Roman"/>
          <w:bCs/>
          <w:lang w:val="en-PH"/>
        </w:rPr>
      </w:pPr>
      <w:r w:rsidRPr="001F4244">
        <w:rPr>
          <w:rFonts w:eastAsia="Times New Roman"/>
          <w:bCs/>
          <w:lang w:val="en-PH"/>
        </w:rPr>
        <w:t>(Source: </w:t>
      </w:r>
      <w:hyperlink r:id="rId42" w:tgtFrame="_blank" w:history="1">
        <w:r w:rsidRPr="001F4244">
          <w:rPr>
            <w:rStyle w:val="Hyperlink"/>
            <w:rFonts w:eastAsia="Times New Roman"/>
            <w:bCs/>
            <w:color w:val="FF6E00"/>
            <w:lang w:val="en-PH"/>
          </w:rPr>
          <w:t>https://www.cftc.gov/PressRoom/SpeechesTestimony/cftcsecjointcryptostatement090225</w:t>
        </w:r>
      </w:hyperlink>
      <w:r w:rsidRPr="001F4244">
        <w:rPr>
          <w:rFonts w:eastAsia="Times New Roman"/>
          <w:bCs/>
          <w:lang w:val="en-PH"/>
        </w:rPr>
        <w:t>)</w:t>
      </w:r>
    </w:p>
    <w:p w14:paraId="4D9819A3" w14:textId="77777777" w:rsidR="00D0113E" w:rsidRDefault="00D0113E" w:rsidP="002C0F01">
      <w:pPr>
        <w:jc w:val="both"/>
        <w:rPr>
          <w:rFonts w:eastAsia="Times New Roman"/>
          <w:bCs/>
          <w:lang w:val="en-PH"/>
        </w:rPr>
      </w:pPr>
    </w:p>
    <w:p w14:paraId="2A498E66" w14:textId="77777777" w:rsidR="00AB7551" w:rsidRPr="00AB7551" w:rsidRDefault="00AB7551" w:rsidP="00AB7551">
      <w:pPr>
        <w:jc w:val="both"/>
        <w:rPr>
          <w:b/>
          <w:bCs/>
          <w:color w:val="FF6E00"/>
          <w:lang w:val="en-PH"/>
        </w:rPr>
      </w:pPr>
      <w:r w:rsidRPr="00AB7551">
        <w:rPr>
          <w:b/>
          <w:bCs/>
          <w:color w:val="FF6E00"/>
          <w:lang w:val="en-PH"/>
        </w:rPr>
        <w:t>United States CFTC Issues Advisory Clarifying FBOT Registration for Non-U.S. Exchanges</w:t>
      </w:r>
    </w:p>
    <w:p w14:paraId="16446AC6" w14:textId="77777777" w:rsidR="00AB7551" w:rsidRPr="00AB7551" w:rsidRDefault="00AB7551" w:rsidP="00AB7551">
      <w:pPr>
        <w:jc w:val="both"/>
        <w:rPr>
          <w:rFonts w:eastAsia="Times New Roman"/>
          <w:bCs/>
          <w:lang w:val="en-PH"/>
        </w:rPr>
      </w:pPr>
      <w:r w:rsidRPr="00AB7551">
        <w:rPr>
          <w:rFonts w:eastAsia="Times New Roman"/>
          <w:bCs/>
          <w:lang w:val="en-PH"/>
        </w:rPr>
        <w:t>On 28 August 2025, the United States Commodity Futures Trading Commission (</w:t>
      </w:r>
      <w:r w:rsidRPr="00AB7551">
        <w:rPr>
          <w:rFonts w:eastAsia="Times New Roman"/>
          <w:b/>
          <w:bCs/>
          <w:lang w:val="en-PH"/>
        </w:rPr>
        <w:t>US CFTC</w:t>
      </w:r>
      <w:r w:rsidRPr="00AB7551">
        <w:rPr>
          <w:rFonts w:eastAsia="Times New Roman"/>
          <w:bCs/>
          <w:lang w:val="en-PH"/>
        </w:rPr>
        <w:t>) issued an </w:t>
      </w:r>
      <w:hyperlink r:id="rId43" w:tgtFrame="_blank" w:history="1">
        <w:r w:rsidRPr="00AB7551">
          <w:rPr>
            <w:rStyle w:val="Hyperlink"/>
            <w:rFonts w:eastAsia="Times New Roman"/>
            <w:bCs/>
            <w:color w:val="FF6E00"/>
            <w:u w:val="none"/>
            <w:lang w:val="en-PH"/>
          </w:rPr>
          <w:t>advisory</w:t>
        </w:r>
      </w:hyperlink>
      <w:r w:rsidRPr="00AB7551">
        <w:rPr>
          <w:rFonts w:eastAsia="Times New Roman"/>
          <w:bCs/>
          <w:color w:val="FF6E00"/>
          <w:lang w:val="en-PH"/>
        </w:rPr>
        <w:t> </w:t>
      </w:r>
      <w:r w:rsidRPr="00AB7551">
        <w:rPr>
          <w:rFonts w:eastAsia="Times New Roman"/>
          <w:bCs/>
          <w:lang w:val="en-PH"/>
        </w:rPr>
        <w:t>through its Division of Market Oversight clarifying the registration framework for foreign boards of trade (</w:t>
      </w:r>
      <w:r w:rsidRPr="00AB7551">
        <w:rPr>
          <w:rFonts w:eastAsia="Times New Roman"/>
          <w:b/>
          <w:bCs/>
          <w:lang w:val="en-PH"/>
        </w:rPr>
        <w:t>FBOTs</w:t>
      </w:r>
      <w:r w:rsidRPr="00AB7551">
        <w:rPr>
          <w:rFonts w:eastAsia="Times New Roman"/>
          <w:bCs/>
          <w:lang w:val="en-PH"/>
        </w:rPr>
        <w:t>). The advisory applies to non-U.S. exchanges that wish to provide direct market access to participants located in the United States. It reaffirms that the FBOT registration process covers all asset classes, including traditional derivatives and crypto asset markets, and is intended to restore regulatory certainty following recent enforcement-related confusion.</w:t>
      </w:r>
    </w:p>
    <w:p w14:paraId="59C0EBA2" w14:textId="77777777" w:rsidR="00AB7551" w:rsidRPr="00AB7551" w:rsidRDefault="00AB7551" w:rsidP="00AB7551">
      <w:pPr>
        <w:jc w:val="both"/>
        <w:rPr>
          <w:rFonts w:eastAsia="Times New Roman"/>
          <w:bCs/>
          <w:lang w:val="en-PH"/>
        </w:rPr>
      </w:pPr>
      <w:r w:rsidRPr="00AB7551">
        <w:rPr>
          <w:rFonts w:eastAsia="Times New Roman"/>
          <w:b/>
          <w:bCs/>
          <w:lang w:val="en-PH"/>
        </w:rPr>
        <w:t>US CFTC Guidance on Scope of FBOT Advisory</w:t>
      </w:r>
    </w:p>
    <w:p w14:paraId="591C82CD" w14:textId="77777777" w:rsidR="00AB7551" w:rsidRPr="00AB7551" w:rsidRDefault="00AB7551" w:rsidP="00AB7551">
      <w:pPr>
        <w:jc w:val="both"/>
        <w:rPr>
          <w:rFonts w:eastAsia="Times New Roman"/>
          <w:bCs/>
          <w:lang w:val="en-PH"/>
        </w:rPr>
      </w:pPr>
      <w:r w:rsidRPr="00AB7551">
        <w:rPr>
          <w:rFonts w:eastAsia="Times New Roman"/>
          <w:bCs/>
          <w:lang w:val="en-PH"/>
        </w:rPr>
        <w:t>The US CFTC confirmed that FBOT registration is the appropriate route for non-U.S. exchanges legally organised and operating outside the United States that provide American traders with direct access to their platforms. This longstanding framework, first introduced in the 1990s, remains the cornerstone of cross-border access to global markets. Unlike a designated contract market (</w:t>
      </w:r>
      <w:r w:rsidRPr="00AB7551">
        <w:rPr>
          <w:rFonts w:eastAsia="Times New Roman"/>
          <w:b/>
          <w:bCs/>
          <w:lang w:val="en-PH"/>
        </w:rPr>
        <w:t>DCM</w:t>
      </w:r>
      <w:r w:rsidRPr="00AB7551">
        <w:rPr>
          <w:rFonts w:eastAsia="Times New Roman"/>
          <w:bCs/>
          <w:lang w:val="en-PH"/>
        </w:rPr>
        <w:t>), which is a U.S.-based exchange, FBOT registration allows foreign venues to operate under CFTC oversight without relocating their infrastructure.</w:t>
      </w:r>
    </w:p>
    <w:p w14:paraId="35D2C5A5" w14:textId="77777777" w:rsidR="00AB7551" w:rsidRPr="00AB7551" w:rsidRDefault="00AB7551" w:rsidP="00AB7551">
      <w:pPr>
        <w:jc w:val="both"/>
        <w:rPr>
          <w:rFonts w:eastAsia="Times New Roman"/>
          <w:bCs/>
          <w:lang w:val="en-PH"/>
        </w:rPr>
      </w:pPr>
      <w:r w:rsidRPr="00AB7551">
        <w:rPr>
          <w:rFonts w:eastAsia="Times New Roman"/>
          <w:b/>
          <w:bCs/>
          <w:lang w:val="en-PH"/>
        </w:rPr>
        <w:t>Statements from US CFTC Acting Chairman Caroline Pham</w:t>
      </w:r>
    </w:p>
    <w:p w14:paraId="71F5163E" w14:textId="77777777" w:rsidR="00AB7551" w:rsidRPr="00AB7551" w:rsidRDefault="00AB7551" w:rsidP="00AB7551">
      <w:pPr>
        <w:jc w:val="both"/>
        <w:rPr>
          <w:rFonts w:eastAsia="Times New Roman"/>
          <w:bCs/>
          <w:lang w:val="en-PH"/>
        </w:rPr>
      </w:pPr>
      <w:r w:rsidRPr="00AB7551">
        <w:rPr>
          <w:rFonts w:eastAsia="Times New Roman"/>
          <w:bCs/>
          <w:lang w:val="en-PH"/>
        </w:rPr>
        <w:t>US CFTC Acting Chairman Caroline D. Pham welcomed the advisory, stating: </w:t>
      </w:r>
      <w:r w:rsidRPr="00AB7551">
        <w:rPr>
          <w:rFonts w:eastAsia="Times New Roman"/>
          <w:bCs/>
          <w:i/>
          <w:iCs/>
          <w:lang w:val="en-PH"/>
        </w:rPr>
        <w:t>“Today’s FBOT advisory provides the regulatory clarity needed to legally onshore trading activity that was driven out of the United States due to the unprecedented regulation by enforcement approach of the past several years.”</w:t>
      </w:r>
      <w:r w:rsidRPr="00AB7551">
        <w:rPr>
          <w:rFonts w:eastAsia="Times New Roman"/>
          <w:bCs/>
          <w:lang w:val="en-PH"/>
        </w:rPr>
        <w:t> Her remarks emphasised that American companies which had shifted operations abroad to facilitate crypto trading now have a clear legal path to return. She further noted: </w:t>
      </w:r>
      <w:r w:rsidRPr="00AB7551">
        <w:rPr>
          <w:rFonts w:eastAsia="Times New Roman"/>
          <w:bCs/>
          <w:i/>
          <w:iCs/>
          <w:lang w:val="en-PH"/>
        </w:rPr>
        <w:t>“Starting now, the CFTC welcomes back Americans that want to trade efficiently and safely under CFTC regulations, and opens up U.S. markets to the rest of the world.”</w:t>
      </w:r>
      <w:r w:rsidRPr="00AB7551">
        <w:rPr>
          <w:rFonts w:eastAsia="Times New Roman"/>
          <w:bCs/>
          <w:lang w:val="en-PH"/>
        </w:rPr>
        <w:t> Simplified, Pham’s message is that the CFTC wants to give U.S. traders secure access to global markets while ensuring that foreign exchanges can engage with U.S. participants under a predictable registration system.</w:t>
      </w:r>
    </w:p>
    <w:p w14:paraId="6263376A" w14:textId="77777777" w:rsidR="00AB7551" w:rsidRPr="00AB7551" w:rsidRDefault="00AB7551" w:rsidP="00AB7551">
      <w:pPr>
        <w:jc w:val="both"/>
        <w:rPr>
          <w:rFonts w:eastAsia="Times New Roman"/>
          <w:bCs/>
          <w:lang w:val="en-PH"/>
        </w:rPr>
      </w:pPr>
      <w:r w:rsidRPr="00AB7551">
        <w:rPr>
          <w:rFonts w:eastAsia="Times New Roman"/>
          <w:b/>
          <w:bCs/>
          <w:lang w:val="en-PH"/>
        </w:rPr>
        <w:t>Restoring Confidence After Market Confusion</w:t>
      </w:r>
    </w:p>
    <w:p w14:paraId="1351D71F" w14:textId="77777777" w:rsidR="00AB7551" w:rsidRPr="00AB7551" w:rsidRDefault="00AB7551" w:rsidP="00AB7551">
      <w:pPr>
        <w:jc w:val="both"/>
        <w:rPr>
          <w:rFonts w:eastAsia="Times New Roman"/>
          <w:bCs/>
          <w:lang w:val="en-PH"/>
        </w:rPr>
      </w:pPr>
      <w:r w:rsidRPr="00AB7551">
        <w:rPr>
          <w:rFonts w:eastAsia="Times New Roman"/>
          <w:bCs/>
          <w:lang w:val="en-PH"/>
        </w:rPr>
        <w:lastRenderedPageBreak/>
        <w:t>The US CFTC acknowledged that recent enforcement actions created uncertainty over whether certain non-U.S. exchanges should register as DCMs or as FBOTs. These actions were based on novel interpretations that diverged from decades of regulatory practice, leaving market participants uncertain. By issuing this advisory, the US CFTC is reaffirming that FBOT registration is the correct and established pathway, providing clarity and reducing disruption in cross-border derivatives and crypto trading.</w:t>
      </w:r>
    </w:p>
    <w:p w14:paraId="45B66C2B" w14:textId="77777777" w:rsidR="00AB7551" w:rsidRPr="00AB7551" w:rsidRDefault="00AB7551" w:rsidP="00AB7551">
      <w:pPr>
        <w:jc w:val="both"/>
        <w:rPr>
          <w:rFonts w:eastAsia="Times New Roman"/>
          <w:bCs/>
          <w:lang w:val="en-PH"/>
        </w:rPr>
      </w:pPr>
      <w:r w:rsidRPr="00AB7551">
        <w:rPr>
          <w:rFonts w:eastAsia="Times New Roman"/>
          <w:b/>
          <w:bCs/>
          <w:lang w:val="en-PH"/>
        </w:rPr>
        <w:t>Impact on Global Derivatives and Crypto Markets</w:t>
      </w:r>
    </w:p>
    <w:p w14:paraId="4EC32E50" w14:textId="181576BF" w:rsidR="00AB7551" w:rsidRPr="00AB7551" w:rsidRDefault="00AB7551" w:rsidP="00AB7551">
      <w:pPr>
        <w:jc w:val="both"/>
        <w:rPr>
          <w:rFonts w:eastAsia="Times New Roman"/>
          <w:bCs/>
          <w:lang w:val="en-PH"/>
        </w:rPr>
      </w:pPr>
      <w:r w:rsidRPr="00AB7551">
        <w:rPr>
          <w:rFonts w:eastAsia="Times New Roman"/>
          <w:bCs/>
          <w:lang w:val="en-PH"/>
        </w:rPr>
        <w:t>The advisory is expected to have significant implications for global trading. For U.S. traders, it restores access to the world’s deepest and most liquid derivatives markets while ensuring that trades are conducted under the protections of CFTC oversight. For non-U.S. exchanges, it provides a reaffirmed route to serve American participants without facing inconsistent interpretations of U.S. securities and commodities law. US CFTC Acting Chairman Pham linked the development to the regulator’s broader “crypto sprint,” a strategic effort to integrate digital asset markets into existing regulatory frameworks while supporting innovation.</w:t>
      </w:r>
    </w:p>
    <w:p w14:paraId="0E44FDE3" w14:textId="6A9C20E0" w:rsidR="00A13DE4" w:rsidRDefault="00AB7551" w:rsidP="002C0F01">
      <w:pPr>
        <w:jc w:val="both"/>
        <w:rPr>
          <w:rFonts w:eastAsia="Times New Roman"/>
          <w:bCs/>
          <w:lang w:val="en-PH"/>
        </w:rPr>
      </w:pPr>
      <w:r w:rsidRPr="00AB7551">
        <w:rPr>
          <w:rFonts w:eastAsia="Times New Roman"/>
          <w:bCs/>
          <w:lang w:val="en-PH"/>
        </w:rPr>
        <w:t>(Source: </w:t>
      </w:r>
      <w:hyperlink r:id="rId44" w:tgtFrame="_blank" w:history="1">
        <w:r w:rsidRPr="00AB7551">
          <w:rPr>
            <w:rStyle w:val="Hyperlink"/>
            <w:rFonts w:eastAsia="Times New Roman"/>
            <w:bCs/>
            <w:color w:val="FF6E00"/>
            <w:lang w:val="en-PH"/>
          </w:rPr>
          <w:t>https://www.cftc.gov/PressRoom/PressReleases/9111-25</w:t>
        </w:r>
      </w:hyperlink>
      <w:r w:rsidRPr="00AB7551">
        <w:rPr>
          <w:rFonts w:eastAsia="Times New Roman"/>
          <w:bCs/>
          <w:lang w:val="en-PH"/>
        </w:rPr>
        <w:t>)</w:t>
      </w:r>
    </w:p>
    <w:p w14:paraId="3C2ECDDB" w14:textId="4DBC76F8" w:rsidR="002C0F01" w:rsidRDefault="002C0F01" w:rsidP="00A13DE4">
      <w:pPr>
        <w:spacing w:line="259" w:lineRule="auto"/>
        <w:rPr>
          <w:rFonts w:eastAsia="Times New Roman"/>
          <w:bCs/>
          <w:lang w:val="en-PH"/>
        </w:rPr>
      </w:pPr>
    </w:p>
    <w:p w14:paraId="2090AC3B" w14:textId="77777777" w:rsidR="001359FB" w:rsidRDefault="001359FB" w:rsidP="00A13DE4">
      <w:pPr>
        <w:spacing w:line="259" w:lineRule="auto"/>
        <w:rPr>
          <w:rFonts w:eastAsia="Times New Roman"/>
          <w:bCs/>
          <w:lang w:val="en-PH"/>
        </w:rPr>
      </w:pPr>
    </w:p>
    <w:p w14:paraId="58F80B7B" w14:textId="77777777" w:rsidR="001359FB" w:rsidRDefault="001359FB" w:rsidP="00A13DE4">
      <w:pPr>
        <w:spacing w:line="259" w:lineRule="auto"/>
        <w:rPr>
          <w:rFonts w:eastAsia="Times New Roman"/>
          <w:bCs/>
          <w:lang w:val="en-PH"/>
        </w:rPr>
      </w:pPr>
    </w:p>
    <w:p w14:paraId="5FF71C8D" w14:textId="77777777" w:rsidR="001359FB" w:rsidRPr="00AD3CFC" w:rsidRDefault="001359FB" w:rsidP="00A13DE4">
      <w:pPr>
        <w:spacing w:line="259" w:lineRule="auto"/>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This newsletter and the information contained herein is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45">
        <w:r w:rsidRPr="00C46FF7">
          <w:rPr>
            <w:rFonts w:ascii="Arial" w:hAnsi="Arial" w:cs="Arial"/>
            <w:sz w:val="22"/>
            <w:szCs w:val="22"/>
            <w:lang w:val="en-GB"/>
          </w:rPr>
          <w:t>unsubscribe@charltonslaw.com</w:t>
        </w:r>
      </w:hyperlink>
    </w:p>
    <w:p w14:paraId="4BFB9E37" w14:textId="4B6F74AD"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4E264B">
        <w:rPr>
          <w:rFonts w:ascii="Arial" w:hAnsi="Arial" w:cs="Arial"/>
          <w:sz w:val="22"/>
          <w:szCs w:val="22"/>
          <w:lang w:val="en-GB"/>
        </w:rPr>
        <w:t>5</w:t>
      </w:r>
      <w:r w:rsidR="00C44B37">
        <w:rPr>
          <w:rFonts w:ascii="Arial" w:hAnsi="Arial" w:cs="Arial"/>
          <w:sz w:val="22"/>
          <w:szCs w:val="22"/>
          <w:lang w:val="en-GB"/>
        </w:rPr>
        <w:t>7</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537EE4">
        <w:rPr>
          <w:rFonts w:ascii="Arial" w:eastAsia="Cambria" w:hAnsi="Arial" w:cs="Arial"/>
          <w:sz w:val="22"/>
          <w:szCs w:val="22"/>
          <w:lang w:val="en-GB"/>
        </w:rPr>
        <w:t>September</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headerReference w:type="even" r:id="rId46"/>
      <w:headerReference w:type="default" r:id="rId47"/>
      <w:footerReference w:type="even" r:id="rId48"/>
      <w:footerReference w:type="default" r:id="rId49"/>
      <w:headerReference w:type="first" r:id="rId50"/>
      <w:footerReference w:type="first" r:id="rId5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682A" w14:textId="77777777" w:rsidR="0047536E" w:rsidRDefault="0047536E" w:rsidP="009101EB">
      <w:pPr>
        <w:spacing w:after="0" w:line="240" w:lineRule="auto"/>
      </w:pPr>
      <w:r>
        <w:separator/>
      </w:r>
    </w:p>
  </w:endnote>
  <w:endnote w:type="continuationSeparator" w:id="0">
    <w:p w14:paraId="57A56BC0" w14:textId="77777777" w:rsidR="0047536E" w:rsidRDefault="0047536E" w:rsidP="0091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C95E" w14:textId="77777777" w:rsidR="009101EB" w:rsidRDefault="00910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6F1A" w14:textId="77777777" w:rsidR="009101EB" w:rsidRDefault="00910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275" w14:textId="77777777" w:rsidR="009101EB" w:rsidRDefault="00910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C844" w14:textId="77777777" w:rsidR="0047536E" w:rsidRDefault="0047536E" w:rsidP="009101EB">
      <w:pPr>
        <w:spacing w:after="0" w:line="240" w:lineRule="auto"/>
      </w:pPr>
      <w:r>
        <w:separator/>
      </w:r>
    </w:p>
  </w:footnote>
  <w:footnote w:type="continuationSeparator" w:id="0">
    <w:p w14:paraId="5FEBC241" w14:textId="77777777" w:rsidR="0047536E" w:rsidRDefault="0047536E" w:rsidP="0091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8189" w14:textId="77777777" w:rsidR="009101EB" w:rsidRDefault="00910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16B9" w14:textId="77777777" w:rsidR="009101EB" w:rsidRDefault="009101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1436" w14:textId="77777777" w:rsidR="009101EB" w:rsidRDefault="009101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4F6"/>
    <w:multiLevelType w:val="multilevel"/>
    <w:tmpl w:val="BF2A4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2"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4B05B3"/>
    <w:multiLevelType w:val="multilevel"/>
    <w:tmpl w:val="8D0C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3D1F44"/>
    <w:multiLevelType w:val="multilevel"/>
    <w:tmpl w:val="4302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891193"/>
    <w:multiLevelType w:val="multilevel"/>
    <w:tmpl w:val="B0D08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92604B"/>
    <w:multiLevelType w:val="hybridMultilevel"/>
    <w:tmpl w:val="E4866DF6"/>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10B652EC"/>
    <w:multiLevelType w:val="hybridMultilevel"/>
    <w:tmpl w:val="FF24BED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8265B"/>
    <w:multiLevelType w:val="multilevel"/>
    <w:tmpl w:val="52920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0A7949"/>
    <w:multiLevelType w:val="multilevel"/>
    <w:tmpl w:val="771C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61C6DDF"/>
    <w:multiLevelType w:val="multilevel"/>
    <w:tmpl w:val="8022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415A01"/>
    <w:multiLevelType w:val="multilevel"/>
    <w:tmpl w:val="4086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B643A"/>
    <w:multiLevelType w:val="hybridMultilevel"/>
    <w:tmpl w:val="8FCCFBEE"/>
    <w:lvl w:ilvl="0" w:tplc="3409001B">
      <w:start w:val="1"/>
      <w:numFmt w:val="lowerRoman"/>
      <w:lvlText w:val="%1."/>
      <w:lvlJc w:val="right"/>
      <w:pPr>
        <w:ind w:left="1440" w:hanging="360"/>
      </w:pPr>
    </w:lvl>
    <w:lvl w:ilvl="1" w:tplc="FFFFFFFF">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4" w15:restartNumberingAfterBreak="0">
    <w:nsid w:val="193B1CED"/>
    <w:multiLevelType w:val="multilevel"/>
    <w:tmpl w:val="B7BC33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966CFD"/>
    <w:multiLevelType w:val="multilevel"/>
    <w:tmpl w:val="DDBAD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8A3DCD"/>
    <w:multiLevelType w:val="hybridMultilevel"/>
    <w:tmpl w:val="5E36C3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5D0546B"/>
    <w:multiLevelType w:val="multilevel"/>
    <w:tmpl w:val="8B244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DE2A43"/>
    <w:multiLevelType w:val="multilevel"/>
    <w:tmpl w:val="23140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027C22"/>
    <w:multiLevelType w:val="hybridMultilevel"/>
    <w:tmpl w:val="D6D8CB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1A0098"/>
    <w:multiLevelType w:val="multilevel"/>
    <w:tmpl w:val="0A08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34D54FA"/>
    <w:multiLevelType w:val="hybridMultilevel"/>
    <w:tmpl w:val="92C88266"/>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36713B7B"/>
    <w:multiLevelType w:val="multilevel"/>
    <w:tmpl w:val="5B1C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9775CCA"/>
    <w:multiLevelType w:val="hybridMultilevel"/>
    <w:tmpl w:val="0BDC53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4" w15:restartNumberingAfterBreak="0">
    <w:nsid w:val="3AAA3973"/>
    <w:multiLevelType w:val="hybridMultilevel"/>
    <w:tmpl w:val="4DA8881E"/>
    <w:lvl w:ilvl="0" w:tplc="3409001B">
      <w:start w:val="1"/>
      <w:numFmt w:val="lowerRoman"/>
      <w:lvlText w:val="%1."/>
      <w:lvlJc w:val="righ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5" w15:restartNumberingAfterBreak="0">
    <w:nsid w:val="3B0909E5"/>
    <w:multiLevelType w:val="multilevel"/>
    <w:tmpl w:val="7F461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BE03B72"/>
    <w:multiLevelType w:val="hybridMultilevel"/>
    <w:tmpl w:val="D6D8CB2E"/>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7" w15:restartNumberingAfterBreak="0">
    <w:nsid w:val="3F101BD4"/>
    <w:multiLevelType w:val="multilevel"/>
    <w:tmpl w:val="8D0EFD2C"/>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4A2739"/>
    <w:multiLevelType w:val="multilevel"/>
    <w:tmpl w:val="DB8C2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B53CE7"/>
    <w:multiLevelType w:val="multilevel"/>
    <w:tmpl w:val="63EA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A17608"/>
    <w:multiLevelType w:val="hybridMultilevel"/>
    <w:tmpl w:val="B302E34C"/>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3"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A32FD5"/>
    <w:multiLevelType w:val="multilevel"/>
    <w:tmpl w:val="76DC5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6EF0C0E"/>
    <w:multiLevelType w:val="multilevel"/>
    <w:tmpl w:val="38E4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02610C9"/>
    <w:multiLevelType w:val="multilevel"/>
    <w:tmpl w:val="E600232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2"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EA346D"/>
    <w:multiLevelType w:val="multilevel"/>
    <w:tmpl w:val="F5A0C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4382251"/>
    <w:multiLevelType w:val="multilevel"/>
    <w:tmpl w:val="7026C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4C1CF9"/>
    <w:multiLevelType w:val="multilevel"/>
    <w:tmpl w:val="434E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5961DDB"/>
    <w:multiLevelType w:val="multilevel"/>
    <w:tmpl w:val="1FE4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9" w15:restartNumberingAfterBreak="0">
    <w:nsid w:val="57B27E99"/>
    <w:multiLevelType w:val="multilevel"/>
    <w:tmpl w:val="08EE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82017F6"/>
    <w:multiLevelType w:val="hybridMultilevel"/>
    <w:tmpl w:val="E528CE50"/>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1"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3"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B825B52"/>
    <w:multiLevelType w:val="multilevel"/>
    <w:tmpl w:val="47F26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BA921F7"/>
    <w:multiLevelType w:val="multilevel"/>
    <w:tmpl w:val="5824D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DE30E7B"/>
    <w:multiLevelType w:val="hybridMultilevel"/>
    <w:tmpl w:val="BABC539A"/>
    <w:lvl w:ilvl="0" w:tplc="FFFFFFFF">
      <w:start w:val="1"/>
      <w:numFmt w:val="lowerLetter"/>
      <w:lvlText w:val="%1)"/>
      <w:lvlJc w:val="left"/>
      <w:pPr>
        <w:ind w:left="1080" w:hanging="360"/>
      </w:pPr>
    </w:lvl>
    <w:lvl w:ilvl="1" w:tplc="3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2CD20D2"/>
    <w:multiLevelType w:val="multilevel"/>
    <w:tmpl w:val="BAE2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30C18B8"/>
    <w:multiLevelType w:val="multilevel"/>
    <w:tmpl w:val="17C4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B9421C"/>
    <w:multiLevelType w:val="multilevel"/>
    <w:tmpl w:val="02C0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8E90F05"/>
    <w:multiLevelType w:val="multilevel"/>
    <w:tmpl w:val="C2720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0"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5F04596"/>
    <w:multiLevelType w:val="multilevel"/>
    <w:tmpl w:val="86FE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605609A"/>
    <w:multiLevelType w:val="multilevel"/>
    <w:tmpl w:val="9FAC0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7640345"/>
    <w:multiLevelType w:val="hybridMultilevel"/>
    <w:tmpl w:val="4F3C41B0"/>
    <w:lvl w:ilvl="0" w:tplc="34090017">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6" w15:restartNumberingAfterBreak="0">
    <w:nsid w:val="778041C6"/>
    <w:multiLevelType w:val="multilevel"/>
    <w:tmpl w:val="FD0C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7D6188C"/>
    <w:multiLevelType w:val="multilevel"/>
    <w:tmpl w:val="C348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8EB2059"/>
    <w:multiLevelType w:val="multilevel"/>
    <w:tmpl w:val="E7207BD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90F088E"/>
    <w:multiLevelType w:val="multilevel"/>
    <w:tmpl w:val="FEE67994"/>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A93263B"/>
    <w:multiLevelType w:val="multilevel"/>
    <w:tmpl w:val="9FAC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A957DB2"/>
    <w:multiLevelType w:val="multilevel"/>
    <w:tmpl w:val="C4D6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B8D2639"/>
    <w:multiLevelType w:val="multilevel"/>
    <w:tmpl w:val="2AFE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CA17B09"/>
    <w:multiLevelType w:val="multilevel"/>
    <w:tmpl w:val="9462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DB8524D"/>
    <w:multiLevelType w:val="multilevel"/>
    <w:tmpl w:val="43AC8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E124184"/>
    <w:multiLevelType w:val="multilevel"/>
    <w:tmpl w:val="2858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E94445F"/>
    <w:multiLevelType w:val="multilevel"/>
    <w:tmpl w:val="8112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EF97630"/>
    <w:multiLevelType w:val="multilevel"/>
    <w:tmpl w:val="AF7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88"/>
  </w:num>
  <w:num w:numId="3" w16cid:durableId="2074813254">
    <w:abstractNumId w:val="23"/>
  </w:num>
  <w:num w:numId="4" w16cid:durableId="1502967021">
    <w:abstractNumId w:val="1"/>
  </w:num>
  <w:num w:numId="5" w16cid:durableId="942999798">
    <w:abstractNumId w:val="109"/>
  </w:num>
  <w:num w:numId="6" w16cid:durableId="1575898805">
    <w:abstractNumId w:val="62"/>
  </w:num>
  <w:num w:numId="7" w16cid:durableId="1378318754">
    <w:abstractNumId w:val="71"/>
  </w:num>
  <w:num w:numId="8" w16cid:durableId="580287903">
    <w:abstractNumId w:val="56"/>
  </w:num>
  <w:num w:numId="9" w16cid:durableId="1550872740">
    <w:abstractNumId w:val="83"/>
  </w:num>
  <w:num w:numId="10" w16cid:durableId="1971083369">
    <w:abstractNumId w:val="5"/>
  </w:num>
  <w:num w:numId="11" w16cid:durableId="1221399460">
    <w:abstractNumId w:val="89"/>
  </w:num>
  <w:num w:numId="12" w16cid:durableId="1130344">
    <w:abstractNumId w:val="13"/>
  </w:num>
  <w:num w:numId="13" w16cid:durableId="724571868">
    <w:abstractNumId w:val="2"/>
  </w:num>
  <w:num w:numId="14" w16cid:durableId="273438372">
    <w:abstractNumId w:val="77"/>
    <w:lvlOverride w:ilvl="0">
      <w:lvl w:ilvl="0">
        <w:numFmt w:val="lowerRoman"/>
        <w:lvlText w:val="%1."/>
        <w:lvlJc w:val="right"/>
      </w:lvl>
    </w:lvlOverride>
  </w:num>
  <w:num w:numId="15" w16cid:durableId="1735548128">
    <w:abstractNumId w:val="77"/>
    <w:lvlOverride w:ilvl="0">
      <w:lvl w:ilvl="0">
        <w:numFmt w:val="lowerRoman"/>
        <w:lvlText w:val="%1."/>
        <w:lvlJc w:val="right"/>
      </w:lvl>
    </w:lvlOverride>
  </w:num>
  <w:num w:numId="16" w16cid:durableId="1888104222">
    <w:abstractNumId w:val="77"/>
    <w:lvlOverride w:ilvl="0">
      <w:lvl w:ilvl="0">
        <w:numFmt w:val="lowerRoman"/>
        <w:lvlText w:val="%1."/>
        <w:lvlJc w:val="right"/>
      </w:lvl>
    </w:lvlOverride>
  </w:num>
  <w:num w:numId="17" w16cid:durableId="1586258705">
    <w:abstractNumId w:val="77"/>
    <w:lvlOverride w:ilvl="0">
      <w:lvl w:ilvl="0">
        <w:numFmt w:val="lowerRoman"/>
        <w:lvlText w:val="%1."/>
        <w:lvlJc w:val="right"/>
      </w:lvl>
    </w:lvlOverride>
  </w:num>
  <w:num w:numId="18" w16cid:durableId="1661732417">
    <w:abstractNumId w:val="61"/>
  </w:num>
  <w:num w:numId="19" w16cid:durableId="511378157">
    <w:abstractNumId w:val="16"/>
  </w:num>
  <w:num w:numId="20" w16cid:durableId="121969876">
    <w:abstractNumId w:val="6"/>
  </w:num>
  <w:num w:numId="21" w16cid:durableId="1684628695">
    <w:abstractNumId w:val="82"/>
  </w:num>
  <w:num w:numId="22" w16cid:durableId="1107626459">
    <w:abstractNumId w:val="68"/>
  </w:num>
  <w:num w:numId="23" w16cid:durableId="118770229">
    <w:abstractNumId w:val="110"/>
  </w:num>
  <w:num w:numId="24" w16cid:durableId="177693014">
    <w:abstractNumId w:val="72"/>
  </w:num>
  <w:num w:numId="25" w16cid:durableId="580061562">
    <w:abstractNumId w:val="33"/>
  </w:num>
  <w:num w:numId="26" w16cid:durableId="1366559567">
    <w:abstractNumId w:val="30"/>
  </w:num>
  <w:num w:numId="27" w16cid:durableId="288439127">
    <w:abstractNumId w:val="35"/>
  </w:num>
  <w:num w:numId="28" w16cid:durableId="486632546">
    <w:abstractNumId w:val="18"/>
  </w:num>
  <w:num w:numId="29" w16cid:durableId="331033149">
    <w:abstractNumId w:val="7"/>
  </w:num>
  <w:num w:numId="30" w16cid:durableId="156650898">
    <w:abstractNumId w:val="87"/>
  </w:num>
  <w:num w:numId="31" w16cid:durableId="1188131849">
    <w:abstractNumId w:val="38"/>
  </w:num>
  <w:num w:numId="32" w16cid:durableId="1085417770">
    <w:abstractNumId w:val="64"/>
  </w:num>
  <w:num w:numId="33" w16cid:durableId="1683126352">
    <w:abstractNumId w:val="86"/>
  </w:num>
  <w:num w:numId="34" w16cid:durableId="71051670">
    <w:abstractNumId w:val="15"/>
  </w:num>
  <w:num w:numId="35" w16cid:durableId="385373748">
    <w:abstractNumId w:val="59"/>
  </w:num>
  <w:num w:numId="36" w16cid:durableId="56053006">
    <w:abstractNumId w:val="93"/>
  </w:num>
  <w:num w:numId="37" w16cid:durableId="1519923209">
    <w:abstractNumId w:val="94"/>
  </w:num>
  <w:num w:numId="38" w16cid:durableId="2138062333">
    <w:abstractNumId w:val="58"/>
  </w:num>
  <w:num w:numId="39" w16cid:durableId="407267627">
    <w:abstractNumId w:val="19"/>
  </w:num>
  <w:num w:numId="40" w16cid:durableId="829977268">
    <w:abstractNumId w:val="27"/>
  </w:num>
  <w:num w:numId="41" w16cid:durableId="1835872112">
    <w:abstractNumId w:val="8"/>
  </w:num>
  <w:num w:numId="42" w16cid:durableId="477842735">
    <w:abstractNumId w:val="37"/>
  </w:num>
  <w:num w:numId="43" w16cid:durableId="2017268441">
    <w:abstractNumId w:val="50"/>
  </w:num>
  <w:num w:numId="44" w16cid:durableId="2042123397">
    <w:abstractNumId w:val="57"/>
  </w:num>
  <w:num w:numId="45" w16cid:durableId="1408189321">
    <w:abstractNumId w:val="31"/>
  </w:num>
  <w:num w:numId="46" w16cid:durableId="742795116">
    <w:abstractNumId w:val="104"/>
  </w:num>
  <w:num w:numId="47" w16cid:durableId="1805199098">
    <w:abstractNumId w:val="79"/>
  </w:num>
  <w:num w:numId="48" w16cid:durableId="1170560367">
    <w:abstractNumId w:val="90"/>
  </w:num>
  <w:num w:numId="49" w16cid:durableId="1649163571">
    <w:abstractNumId w:val="53"/>
  </w:num>
  <w:num w:numId="50" w16cid:durableId="1289624069">
    <w:abstractNumId w:val="3"/>
  </w:num>
  <w:num w:numId="51" w16cid:durableId="296692196">
    <w:abstractNumId w:val="73"/>
  </w:num>
  <w:num w:numId="52" w16cid:durableId="1012873967">
    <w:abstractNumId w:val="48"/>
  </w:num>
  <w:num w:numId="53" w16cid:durableId="3015233">
    <w:abstractNumId w:val="40"/>
  </w:num>
  <w:num w:numId="54" w16cid:durableId="447243488">
    <w:abstractNumId w:val="81"/>
  </w:num>
  <w:num w:numId="55" w16cid:durableId="1405761477">
    <w:abstractNumId w:val="34"/>
  </w:num>
  <w:num w:numId="56" w16cid:durableId="2119173600">
    <w:abstractNumId w:val="21"/>
  </w:num>
  <w:num w:numId="57" w16cid:durableId="149638734">
    <w:abstractNumId w:val="92"/>
    <w:lvlOverride w:ilvl="0">
      <w:lvl w:ilvl="0">
        <w:numFmt w:val="lowerRoman"/>
        <w:lvlText w:val="%1."/>
        <w:lvlJc w:val="right"/>
      </w:lvl>
    </w:lvlOverride>
  </w:num>
  <w:num w:numId="58" w16cid:durableId="1112360491">
    <w:abstractNumId w:val="92"/>
    <w:lvlOverride w:ilvl="0">
      <w:lvl w:ilvl="0">
        <w:numFmt w:val="lowerRoman"/>
        <w:lvlText w:val="%1."/>
        <w:lvlJc w:val="right"/>
      </w:lvl>
    </w:lvlOverride>
  </w:num>
  <w:num w:numId="59" w16cid:durableId="792018799">
    <w:abstractNumId w:val="92"/>
    <w:lvlOverride w:ilvl="0">
      <w:lvl w:ilvl="0">
        <w:numFmt w:val="lowerRoman"/>
        <w:lvlText w:val="%1."/>
        <w:lvlJc w:val="right"/>
      </w:lvl>
    </w:lvlOverride>
  </w:num>
  <w:num w:numId="60" w16cid:durableId="257375012">
    <w:abstractNumId w:val="92"/>
    <w:lvlOverride w:ilvl="0">
      <w:lvl w:ilvl="0">
        <w:numFmt w:val="lowerRoman"/>
        <w:lvlText w:val="%1."/>
        <w:lvlJc w:val="right"/>
      </w:lvl>
    </w:lvlOverride>
  </w:num>
  <w:num w:numId="61" w16cid:durableId="1338727997">
    <w:abstractNumId w:val="107"/>
    <w:lvlOverride w:ilvl="0">
      <w:lvl w:ilvl="0">
        <w:numFmt w:val="lowerRoman"/>
        <w:lvlText w:val="%1."/>
        <w:lvlJc w:val="right"/>
      </w:lvl>
    </w:lvlOverride>
  </w:num>
  <w:num w:numId="62" w16cid:durableId="1764297162">
    <w:abstractNumId w:val="107"/>
    <w:lvlOverride w:ilvl="0">
      <w:lvl w:ilvl="0">
        <w:numFmt w:val="lowerRoman"/>
        <w:lvlText w:val="%1."/>
        <w:lvlJc w:val="right"/>
      </w:lvl>
    </w:lvlOverride>
  </w:num>
  <w:num w:numId="63" w16cid:durableId="458229535">
    <w:abstractNumId w:val="107"/>
    <w:lvlOverride w:ilvl="0">
      <w:lvl w:ilvl="0">
        <w:numFmt w:val="lowerRoman"/>
        <w:lvlText w:val="%1."/>
        <w:lvlJc w:val="right"/>
      </w:lvl>
    </w:lvlOverride>
  </w:num>
  <w:num w:numId="64" w16cid:durableId="680158346">
    <w:abstractNumId w:val="36"/>
  </w:num>
  <w:num w:numId="65" w16cid:durableId="1208378405">
    <w:abstractNumId w:val="46"/>
  </w:num>
  <w:num w:numId="66" w16cid:durableId="1911427373">
    <w:abstractNumId w:val="32"/>
  </w:num>
  <w:num w:numId="67" w16cid:durableId="1210724490">
    <w:abstractNumId w:val="10"/>
    <w:lvlOverride w:ilvl="0">
      <w:lvl w:ilvl="0">
        <w:numFmt w:val="lowerRoman"/>
        <w:lvlText w:val="%1."/>
        <w:lvlJc w:val="right"/>
      </w:lvl>
    </w:lvlOverride>
  </w:num>
  <w:num w:numId="68" w16cid:durableId="904487813">
    <w:abstractNumId w:val="10"/>
    <w:lvlOverride w:ilvl="0">
      <w:lvl w:ilvl="0">
        <w:numFmt w:val="lowerRoman"/>
        <w:lvlText w:val="%1."/>
        <w:lvlJc w:val="right"/>
      </w:lvl>
    </w:lvlOverride>
  </w:num>
  <w:num w:numId="69" w16cid:durableId="1459299140">
    <w:abstractNumId w:val="10"/>
    <w:lvlOverride w:ilvl="0">
      <w:lvl w:ilvl="0">
        <w:numFmt w:val="lowerRoman"/>
        <w:lvlText w:val="%1."/>
        <w:lvlJc w:val="right"/>
      </w:lvl>
    </w:lvlOverride>
  </w:num>
  <w:num w:numId="70" w16cid:durableId="1944070059">
    <w:abstractNumId w:val="10"/>
    <w:lvlOverride w:ilvl="0">
      <w:lvl w:ilvl="0">
        <w:numFmt w:val="lowerRoman"/>
        <w:lvlText w:val="%1."/>
        <w:lvlJc w:val="right"/>
      </w:lvl>
    </w:lvlOverride>
  </w:num>
  <w:num w:numId="71" w16cid:durableId="1763526071">
    <w:abstractNumId w:val="69"/>
    <w:lvlOverride w:ilvl="0">
      <w:lvl w:ilvl="0">
        <w:numFmt w:val="lowerRoman"/>
        <w:lvlText w:val="%1."/>
        <w:lvlJc w:val="right"/>
      </w:lvl>
    </w:lvlOverride>
  </w:num>
  <w:num w:numId="72" w16cid:durableId="800608255">
    <w:abstractNumId w:val="41"/>
  </w:num>
  <w:num w:numId="73" w16cid:durableId="1138492833">
    <w:abstractNumId w:val="26"/>
  </w:num>
  <w:num w:numId="74" w16cid:durableId="626354228">
    <w:abstractNumId w:val="85"/>
  </w:num>
  <w:num w:numId="75" w16cid:durableId="2005086676">
    <w:abstractNumId w:val="52"/>
  </w:num>
  <w:num w:numId="76" w16cid:durableId="1774740799">
    <w:abstractNumId w:val="74"/>
    <w:lvlOverride w:ilvl="0">
      <w:lvl w:ilvl="0">
        <w:numFmt w:val="lowerRoman"/>
        <w:lvlText w:val="%1."/>
        <w:lvlJc w:val="right"/>
      </w:lvl>
    </w:lvlOverride>
  </w:num>
  <w:num w:numId="77" w16cid:durableId="223420510">
    <w:abstractNumId w:val="74"/>
    <w:lvlOverride w:ilvl="0">
      <w:lvl w:ilvl="0">
        <w:numFmt w:val="lowerRoman"/>
        <w:lvlText w:val="%1."/>
        <w:lvlJc w:val="right"/>
      </w:lvl>
    </w:lvlOverride>
  </w:num>
  <w:num w:numId="78" w16cid:durableId="839153515">
    <w:abstractNumId w:val="74"/>
    <w:lvlOverride w:ilvl="0">
      <w:lvl w:ilvl="0">
        <w:numFmt w:val="lowerRoman"/>
        <w:lvlText w:val="%1."/>
        <w:lvlJc w:val="right"/>
      </w:lvl>
    </w:lvlOverride>
  </w:num>
  <w:num w:numId="79" w16cid:durableId="722407399">
    <w:abstractNumId w:val="74"/>
    <w:lvlOverride w:ilvl="0">
      <w:lvl w:ilvl="0">
        <w:numFmt w:val="lowerRoman"/>
        <w:lvlText w:val="%1."/>
        <w:lvlJc w:val="right"/>
      </w:lvl>
    </w:lvlOverride>
  </w:num>
  <w:num w:numId="80" w16cid:durableId="255789691">
    <w:abstractNumId w:val="74"/>
    <w:lvlOverride w:ilvl="0">
      <w:lvl w:ilvl="0">
        <w:numFmt w:val="lowerRoman"/>
        <w:lvlText w:val="%1."/>
        <w:lvlJc w:val="right"/>
      </w:lvl>
    </w:lvlOverride>
  </w:num>
  <w:num w:numId="81" w16cid:durableId="934706887">
    <w:abstractNumId w:val="74"/>
    <w:lvlOverride w:ilvl="0">
      <w:lvl w:ilvl="0">
        <w:numFmt w:val="lowerRoman"/>
        <w:lvlText w:val="%1."/>
        <w:lvlJc w:val="right"/>
      </w:lvl>
    </w:lvlOverride>
  </w:num>
  <w:num w:numId="82" w16cid:durableId="2088069425">
    <w:abstractNumId w:val="44"/>
  </w:num>
  <w:num w:numId="83" w16cid:durableId="2144737918">
    <w:abstractNumId w:val="12"/>
  </w:num>
  <w:num w:numId="84" w16cid:durableId="1510943299">
    <w:abstractNumId w:val="11"/>
  </w:num>
  <w:num w:numId="85" w16cid:durableId="243144755">
    <w:abstractNumId w:val="98"/>
  </w:num>
  <w:num w:numId="86" w16cid:durableId="658535919">
    <w:abstractNumId w:val="65"/>
  </w:num>
  <w:num w:numId="87" w16cid:durableId="627860502">
    <w:abstractNumId w:val="60"/>
  </w:num>
  <w:num w:numId="88" w16cid:durableId="1460219467">
    <w:abstractNumId w:val="103"/>
  </w:num>
  <w:num w:numId="89" w16cid:durableId="1700816488">
    <w:abstractNumId w:val="66"/>
  </w:num>
  <w:num w:numId="90" w16cid:durableId="211575541">
    <w:abstractNumId w:val="108"/>
  </w:num>
  <w:num w:numId="91" w16cid:durableId="1139155985">
    <w:abstractNumId w:val="20"/>
  </w:num>
  <w:num w:numId="92" w16cid:durableId="681787406">
    <w:abstractNumId w:val="42"/>
  </w:num>
  <w:num w:numId="93" w16cid:durableId="634945270">
    <w:abstractNumId w:val="106"/>
  </w:num>
  <w:num w:numId="94" w16cid:durableId="169178564">
    <w:abstractNumId w:val="97"/>
  </w:num>
  <w:num w:numId="95" w16cid:durableId="661468875">
    <w:abstractNumId w:val="54"/>
    <w:lvlOverride w:ilvl="0">
      <w:lvl w:ilvl="0">
        <w:numFmt w:val="lowerRoman"/>
        <w:lvlText w:val="%1."/>
        <w:lvlJc w:val="right"/>
      </w:lvl>
    </w:lvlOverride>
  </w:num>
  <w:num w:numId="96" w16cid:durableId="901020883">
    <w:abstractNumId w:val="54"/>
    <w:lvlOverride w:ilvl="0">
      <w:lvl w:ilvl="0">
        <w:numFmt w:val="lowerRoman"/>
        <w:lvlText w:val="%1."/>
        <w:lvlJc w:val="right"/>
      </w:lvl>
    </w:lvlOverride>
  </w:num>
  <w:num w:numId="97" w16cid:durableId="169297721">
    <w:abstractNumId w:val="54"/>
    <w:lvlOverride w:ilvl="0">
      <w:lvl w:ilvl="0">
        <w:numFmt w:val="lowerRoman"/>
        <w:lvlText w:val="%1."/>
        <w:lvlJc w:val="right"/>
      </w:lvl>
    </w:lvlOverride>
  </w:num>
  <w:num w:numId="98" w16cid:durableId="458499617">
    <w:abstractNumId w:val="0"/>
  </w:num>
  <w:num w:numId="99" w16cid:durableId="1325620188">
    <w:abstractNumId w:val="70"/>
  </w:num>
  <w:num w:numId="100" w16cid:durableId="1622346088">
    <w:abstractNumId w:val="78"/>
  </w:num>
  <w:num w:numId="101" w16cid:durableId="2116753559">
    <w:abstractNumId w:val="101"/>
  </w:num>
  <w:num w:numId="102" w16cid:durableId="357391315">
    <w:abstractNumId w:val="29"/>
  </w:num>
  <w:num w:numId="103" w16cid:durableId="2106534018">
    <w:abstractNumId w:val="29"/>
    <w:lvlOverride w:ilvl="1">
      <w:lvl w:ilvl="1">
        <w:numFmt w:val="lowerRoman"/>
        <w:lvlText w:val="%2."/>
        <w:lvlJc w:val="right"/>
      </w:lvl>
    </w:lvlOverride>
  </w:num>
  <w:num w:numId="104" w16cid:durableId="1807818567">
    <w:abstractNumId w:val="29"/>
    <w:lvlOverride w:ilvl="1">
      <w:lvl w:ilvl="1">
        <w:numFmt w:val="lowerRoman"/>
        <w:lvlText w:val="%2."/>
        <w:lvlJc w:val="right"/>
      </w:lvl>
    </w:lvlOverride>
  </w:num>
  <w:num w:numId="105" w16cid:durableId="731775849">
    <w:abstractNumId w:val="95"/>
  </w:num>
  <w:num w:numId="106" w16cid:durableId="1045521079">
    <w:abstractNumId w:val="76"/>
  </w:num>
  <w:num w:numId="107" w16cid:durableId="1366640459">
    <w:abstractNumId w:val="22"/>
  </w:num>
  <w:num w:numId="108" w16cid:durableId="1538814402">
    <w:abstractNumId w:val="91"/>
  </w:num>
  <w:num w:numId="109" w16cid:durableId="1081105389">
    <w:abstractNumId w:val="80"/>
  </w:num>
  <w:num w:numId="110" w16cid:durableId="2142915806">
    <w:abstractNumId w:val="99"/>
  </w:num>
  <w:num w:numId="111" w16cid:durableId="921528903">
    <w:abstractNumId w:val="99"/>
    <w:lvlOverride w:ilvl="1">
      <w:lvl w:ilvl="1">
        <w:numFmt w:val="lowerRoman"/>
        <w:lvlText w:val="%2."/>
        <w:lvlJc w:val="right"/>
      </w:lvl>
    </w:lvlOverride>
  </w:num>
  <w:num w:numId="112" w16cid:durableId="1520123342">
    <w:abstractNumId w:val="99"/>
    <w:lvlOverride w:ilvl="1">
      <w:lvl w:ilvl="1">
        <w:numFmt w:val="lowerRoman"/>
        <w:lvlText w:val="%2."/>
        <w:lvlJc w:val="right"/>
      </w:lvl>
    </w:lvlOverride>
  </w:num>
  <w:num w:numId="113" w16cid:durableId="864636733">
    <w:abstractNumId w:val="99"/>
    <w:lvlOverride w:ilvl="1">
      <w:lvl w:ilvl="1">
        <w:numFmt w:val="lowerRoman"/>
        <w:lvlText w:val="%2."/>
        <w:lvlJc w:val="right"/>
      </w:lvl>
    </w:lvlOverride>
  </w:num>
  <w:num w:numId="114" w16cid:durableId="322315357">
    <w:abstractNumId w:val="99"/>
    <w:lvlOverride w:ilvl="1">
      <w:lvl w:ilvl="1">
        <w:numFmt w:val="lowerRoman"/>
        <w:lvlText w:val="%2."/>
        <w:lvlJc w:val="right"/>
      </w:lvl>
    </w:lvlOverride>
  </w:num>
  <w:num w:numId="115" w16cid:durableId="1753239046">
    <w:abstractNumId w:val="99"/>
    <w:lvlOverride w:ilvl="1">
      <w:lvl w:ilvl="1">
        <w:numFmt w:val="lowerRoman"/>
        <w:lvlText w:val="%2."/>
        <w:lvlJc w:val="right"/>
      </w:lvl>
    </w:lvlOverride>
  </w:num>
  <w:num w:numId="116" w16cid:durableId="1768847538">
    <w:abstractNumId w:val="99"/>
    <w:lvlOverride w:ilvl="1">
      <w:lvl w:ilvl="1">
        <w:numFmt w:val="lowerRoman"/>
        <w:lvlText w:val="%2."/>
        <w:lvlJc w:val="right"/>
      </w:lvl>
    </w:lvlOverride>
  </w:num>
  <w:num w:numId="117" w16cid:durableId="1409309793">
    <w:abstractNumId w:val="47"/>
  </w:num>
  <w:num w:numId="118" w16cid:durableId="2017488863">
    <w:abstractNumId w:val="47"/>
    <w:lvlOverride w:ilvl="1">
      <w:lvl w:ilvl="1">
        <w:numFmt w:val="lowerRoman"/>
        <w:lvlText w:val="%2."/>
        <w:lvlJc w:val="right"/>
      </w:lvl>
    </w:lvlOverride>
  </w:num>
  <w:num w:numId="119" w16cid:durableId="1736125366">
    <w:abstractNumId w:val="47"/>
    <w:lvlOverride w:ilvl="1">
      <w:lvl w:ilvl="1">
        <w:numFmt w:val="lowerRoman"/>
        <w:lvlText w:val="%2."/>
        <w:lvlJc w:val="right"/>
      </w:lvl>
    </w:lvlOverride>
  </w:num>
  <w:num w:numId="120" w16cid:durableId="797144403">
    <w:abstractNumId w:val="47"/>
    <w:lvlOverride w:ilvl="1">
      <w:lvl w:ilvl="1">
        <w:numFmt w:val="lowerRoman"/>
        <w:lvlText w:val="%2."/>
        <w:lvlJc w:val="right"/>
      </w:lvl>
    </w:lvlOverride>
  </w:num>
  <w:num w:numId="121" w16cid:durableId="537207735">
    <w:abstractNumId w:val="47"/>
    <w:lvlOverride w:ilvl="1">
      <w:lvl w:ilvl="1">
        <w:numFmt w:val="lowerRoman"/>
        <w:lvlText w:val="%2."/>
        <w:lvlJc w:val="right"/>
      </w:lvl>
    </w:lvlOverride>
  </w:num>
  <w:num w:numId="122" w16cid:durableId="882323684">
    <w:abstractNumId w:val="47"/>
    <w:lvlOverride w:ilvl="1">
      <w:lvl w:ilvl="1">
        <w:numFmt w:val="lowerRoman"/>
        <w:lvlText w:val="%2."/>
        <w:lvlJc w:val="right"/>
      </w:lvl>
    </w:lvlOverride>
  </w:num>
  <w:num w:numId="123" w16cid:durableId="16128913">
    <w:abstractNumId w:val="24"/>
  </w:num>
  <w:num w:numId="124" w16cid:durableId="1982688408">
    <w:abstractNumId w:val="24"/>
    <w:lvlOverride w:ilvl="1">
      <w:lvl w:ilvl="1">
        <w:numFmt w:val="lowerRoman"/>
        <w:lvlText w:val="%2."/>
        <w:lvlJc w:val="right"/>
      </w:lvl>
    </w:lvlOverride>
  </w:num>
  <w:num w:numId="125" w16cid:durableId="1979189571">
    <w:abstractNumId w:val="24"/>
    <w:lvlOverride w:ilvl="1">
      <w:lvl w:ilvl="1">
        <w:numFmt w:val="lowerRoman"/>
        <w:lvlText w:val="%2."/>
        <w:lvlJc w:val="right"/>
      </w:lvl>
    </w:lvlOverride>
  </w:num>
  <w:num w:numId="126" w16cid:durableId="1751921249">
    <w:abstractNumId w:val="24"/>
    <w:lvlOverride w:ilvl="1">
      <w:lvl w:ilvl="1">
        <w:numFmt w:val="lowerRoman"/>
        <w:lvlText w:val="%2."/>
        <w:lvlJc w:val="right"/>
      </w:lvl>
    </w:lvlOverride>
  </w:num>
  <w:num w:numId="127" w16cid:durableId="1482692021">
    <w:abstractNumId w:val="96"/>
  </w:num>
  <w:num w:numId="128" w16cid:durableId="1979451681">
    <w:abstractNumId w:val="84"/>
  </w:num>
  <w:num w:numId="129" w16cid:durableId="2088570851">
    <w:abstractNumId w:val="39"/>
  </w:num>
  <w:num w:numId="130" w16cid:durableId="486825396">
    <w:abstractNumId w:val="28"/>
  </w:num>
  <w:num w:numId="131" w16cid:durableId="456994006">
    <w:abstractNumId w:val="100"/>
  </w:num>
  <w:num w:numId="132" w16cid:durableId="1727676820">
    <w:abstractNumId w:val="49"/>
  </w:num>
  <w:num w:numId="133" w16cid:durableId="646131795">
    <w:abstractNumId w:val="105"/>
  </w:num>
  <w:num w:numId="134" w16cid:durableId="670378237">
    <w:abstractNumId w:val="17"/>
  </w:num>
  <w:num w:numId="135" w16cid:durableId="1442214749">
    <w:abstractNumId w:val="55"/>
  </w:num>
  <w:num w:numId="136" w16cid:durableId="859466365">
    <w:abstractNumId w:val="4"/>
  </w:num>
  <w:num w:numId="137" w16cid:durableId="2139640024">
    <w:abstractNumId w:val="43"/>
  </w:num>
  <w:num w:numId="138" w16cid:durableId="508835132">
    <w:abstractNumId w:val="75"/>
  </w:num>
  <w:num w:numId="139" w16cid:durableId="48502747">
    <w:abstractNumId w:val="51"/>
  </w:num>
  <w:num w:numId="140" w16cid:durableId="49115395">
    <w:abstractNumId w:val="67"/>
  </w:num>
  <w:num w:numId="141" w16cid:durableId="1026949706">
    <w:abstractNumId w:val="45"/>
  </w:num>
  <w:num w:numId="142" w16cid:durableId="2137210383">
    <w:abstractNumId w:val="14"/>
  </w:num>
  <w:num w:numId="143" w16cid:durableId="1974024135">
    <w:abstractNumId w:val="102"/>
  </w:num>
  <w:num w:numId="144" w16cid:durableId="604389213">
    <w:abstractNumId w:val="25"/>
  </w:num>
  <w:num w:numId="145" w16cid:durableId="14622534">
    <w:abstractNumId w:val="63"/>
  </w:num>
  <w:num w:numId="146" w16cid:durableId="913584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0571"/>
    <w:rsid w:val="00002241"/>
    <w:rsid w:val="000037AF"/>
    <w:rsid w:val="000040CD"/>
    <w:rsid w:val="00004159"/>
    <w:rsid w:val="00004353"/>
    <w:rsid w:val="00004975"/>
    <w:rsid w:val="00004DDE"/>
    <w:rsid w:val="0000501F"/>
    <w:rsid w:val="00010A36"/>
    <w:rsid w:val="0001139B"/>
    <w:rsid w:val="00011D2F"/>
    <w:rsid w:val="00013D73"/>
    <w:rsid w:val="00014692"/>
    <w:rsid w:val="00016D29"/>
    <w:rsid w:val="000205CC"/>
    <w:rsid w:val="00021BD3"/>
    <w:rsid w:val="000221A7"/>
    <w:rsid w:val="00022921"/>
    <w:rsid w:val="00022F38"/>
    <w:rsid w:val="00023079"/>
    <w:rsid w:val="00023129"/>
    <w:rsid w:val="000243D9"/>
    <w:rsid w:val="000245FF"/>
    <w:rsid w:val="000252D0"/>
    <w:rsid w:val="00025A76"/>
    <w:rsid w:val="00030E34"/>
    <w:rsid w:val="000311B9"/>
    <w:rsid w:val="000318E6"/>
    <w:rsid w:val="0003348A"/>
    <w:rsid w:val="00034A74"/>
    <w:rsid w:val="00034B85"/>
    <w:rsid w:val="00035967"/>
    <w:rsid w:val="000404A8"/>
    <w:rsid w:val="00040964"/>
    <w:rsid w:val="00041ED0"/>
    <w:rsid w:val="00041F71"/>
    <w:rsid w:val="00044C25"/>
    <w:rsid w:val="000450EC"/>
    <w:rsid w:val="000459A0"/>
    <w:rsid w:val="00050C83"/>
    <w:rsid w:val="00055654"/>
    <w:rsid w:val="00055719"/>
    <w:rsid w:val="00055C12"/>
    <w:rsid w:val="000608FB"/>
    <w:rsid w:val="00060904"/>
    <w:rsid w:val="00060C8D"/>
    <w:rsid w:val="0006256F"/>
    <w:rsid w:val="00062599"/>
    <w:rsid w:val="00063802"/>
    <w:rsid w:val="00065B71"/>
    <w:rsid w:val="0007026A"/>
    <w:rsid w:val="000721F8"/>
    <w:rsid w:val="00072A04"/>
    <w:rsid w:val="00072E0C"/>
    <w:rsid w:val="00073B16"/>
    <w:rsid w:val="00073F4D"/>
    <w:rsid w:val="00080AA7"/>
    <w:rsid w:val="00082886"/>
    <w:rsid w:val="00082E37"/>
    <w:rsid w:val="00083F90"/>
    <w:rsid w:val="000840D4"/>
    <w:rsid w:val="000872BC"/>
    <w:rsid w:val="000903A8"/>
    <w:rsid w:val="00090F0A"/>
    <w:rsid w:val="00091FCF"/>
    <w:rsid w:val="0009242D"/>
    <w:rsid w:val="00092D28"/>
    <w:rsid w:val="00093345"/>
    <w:rsid w:val="000976A9"/>
    <w:rsid w:val="00097902"/>
    <w:rsid w:val="000A0784"/>
    <w:rsid w:val="000A089B"/>
    <w:rsid w:val="000A284A"/>
    <w:rsid w:val="000A40AA"/>
    <w:rsid w:val="000A4B8F"/>
    <w:rsid w:val="000A541C"/>
    <w:rsid w:val="000A6ABC"/>
    <w:rsid w:val="000B2FAD"/>
    <w:rsid w:val="000B3A31"/>
    <w:rsid w:val="000B3FB2"/>
    <w:rsid w:val="000B4209"/>
    <w:rsid w:val="000B60E8"/>
    <w:rsid w:val="000B7597"/>
    <w:rsid w:val="000B75FA"/>
    <w:rsid w:val="000B7A07"/>
    <w:rsid w:val="000B7BE4"/>
    <w:rsid w:val="000C309D"/>
    <w:rsid w:val="000C40DC"/>
    <w:rsid w:val="000C478D"/>
    <w:rsid w:val="000D4A49"/>
    <w:rsid w:val="000D561C"/>
    <w:rsid w:val="000E092F"/>
    <w:rsid w:val="000E2273"/>
    <w:rsid w:val="000E494A"/>
    <w:rsid w:val="000E568E"/>
    <w:rsid w:val="000E677F"/>
    <w:rsid w:val="000E7DAA"/>
    <w:rsid w:val="000F2253"/>
    <w:rsid w:val="000F3086"/>
    <w:rsid w:val="000F435A"/>
    <w:rsid w:val="000F45F9"/>
    <w:rsid w:val="000F6230"/>
    <w:rsid w:val="000F7A59"/>
    <w:rsid w:val="00101D42"/>
    <w:rsid w:val="00102041"/>
    <w:rsid w:val="00103C38"/>
    <w:rsid w:val="00104145"/>
    <w:rsid w:val="001113C2"/>
    <w:rsid w:val="001127F4"/>
    <w:rsid w:val="0011342C"/>
    <w:rsid w:val="00114473"/>
    <w:rsid w:val="001148B5"/>
    <w:rsid w:val="001160B1"/>
    <w:rsid w:val="00116C8F"/>
    <w:rsid w:val="001170F1"/>
    <w:rsid w:val="00117E40"/>
    <w:rsid w:val="0012457E"/>
    <w:rsid w:val="00124B84"/>
    <w:rsid w:val="00130ECC"/>
    <w:rsid w:val="001322E7"/>
    <w:rsid w:val="00132E57"/>
    <w:rsid w:val="00132F7F"/>
    <w:rsid w:val="00132F89"/>
    <w:rsid w:val="001359FB"/>
    <w:rsid w:val="00135FD4"/>
    <w:rsid w:val="00137CD3"/>
    <w:rsid w:val="00141D4A"/>
    <w:rsid w:val="00142600"/>
    <w:rsid w:val="00143AC9"/>
    <w:rsid w:val="00144233"/>
    <w:rsid w:val="001443C3"/>
    <w:rsid w:val="00144837"/>
    <w:rsid w:val="001457E5"/>
    <w:rsid w:val="0014794A"/>
    <w:rsid w:val="00151E19"/>
    <w:rsid w:val="0015318A"/>
    <w:rsid w:val="001537E2"/>
    <w:rsid w:val="00156B48"/>
    <w:rsid w:val="00162C5D"/>
    <w:rsid w:val="00162CA5"/>
    <w:rsid w:val="00163B8D"/>
    <w:rsid w:val="00164197"/>
    <w:rsid w:val="001648C1"/>
    <w:rsid w:val="001653EC"/>
    <w:rsid w:val="00166B91"/>
    <w:rsid w:val="001677A7"/>
    <w:rsid w:val="00174299"/>
    <w:rsid w:val="001754E8"/>
    <w:rsid w:val="0017603A"/>
    <w:rsid w:val="0017636E"/>
    <w:rsid w:val="00176578"/>
    <w:rsid w:val="00176FE0"/>
    <w:rsid w:val="00177462"/>
    <w:rsid w:val="001815E2"/>
    <w:rsid w:val="00181D1E"/>
    <w:rsid w:val="00182A62"/>
    <w:rsid w:val="00183CF7"/>
    <w:rsid w:val="001840A3"/>
    <w:rsid w:val="00185130"/>
    <w:rsid w:val="00185A3C"/>
    <w:rsid w:val="00187849"/>
    <w:rsid w:val="001919D6"/>
    <w:rsid w:val="00192502"/>
    <w:rsid w:val="00193F55"/>
    <w:rsid w:val="00195080"/>
    <w:rsid w:val="0019610D"/>
    <w:rsid w:val="00197AC0"/>
    <w:rsid w:val="001A35D1"/>
    <w:rsid w:val="001A510E"/>
    <w:rsid w:val="001A5268"/>
    <w:rsid w:val="001A5751"/>
    <w:rsid w:val="001A5B86"/>
    <w:rsid w:val="001A6280"/>
    <w:rsid w:val="001A6935"/>
    <w:rsid w:val="001A7174"/>
    <w:rsid w:val="001A7B17"/>
    <w:rsid w:val="001B1858"/>
    <w:rsid w:val="001B19A8"/>
    <w:rsid w:val="001B221F"/>
    <w:rsid w:val="001B2B56"/>
    <w:rsid w:val="001B3584"/>
    <w:rsid w:val="001B3BC8"/>
    <w:rsid w:val="001B7EA8"/>
    <w:rsid w:val="001C33E2"/>
    <w:rsid w:val="001C43BA"/>
    <w:rsid w:val="001C79AD"/>
    <w:rsid w:val="001D1F61"/>
    <w:rsid w:val="001D2EED"/>
    <w:rsid w:val="001D3C2C"/>
    <w:rsid w:val="001D433D"/>
    <w:rsid w:val="001D69A4"/>
    <w:rsid w:val="001D759C"/>
    <w:rsid w:val="001D788C"/>
    <w:rsid w:val="001E0B8C"/>
    <w:rsid w:val="001E40E0"/>
    <w:rsid w:val="001E561C"/>
    <w:rsid w:val="001E671B"/>
    <w:rsid w:val="001F05C7"/>
    <w:rsid w:val="001F2BEF"/>
    <w:rsid w:val="001F4244"/>
    <w:rsid w:val="001F734C"/>
    <w:rsid w:val="001F7BAD"/>
    <w:rsid w:val="0020028D"/>
    <w:rsid w:val="00201D41"/>
    <w:rsid w:val="00203814"/>
    <w:rsid w:val="00203EC7"/>
    <w:rsid w:val="00205373"/>
    <w:rsid w:val="00205B49"/>
    <w:rsid w:val="00206AD5"/>
    <w:rsid w:val="00210222"/>
    <w:rsid w:val="00210A6E"/>
    <w:rsid w:val="00212FC9"/>
    <w:rsid w:val="00213254"/>
    <w:rsid w:val="00213925"/>
    <w:rsid w:val="0022163F"/>
    <w:rsid w:val="002217D5"/>
    <w:rsid w:val="00225D41"/>
    <w:rsid w:val="00225D66"/>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773C7"/>
    <w:rsid w:val="0028154B"/>
    <w:rsid w:val="00282B8B"/>
    <w:rsid w:val="0028622F"/>
    <w:rsid w:val="002867DE"/>
    <w:rsid w:val="00290435"/>
    <w:rsid w:val="002914A1"/>
    <w:rsid w:val="00291FFC"/>
    <w:rsid w:val="00292BED"/>
    <w:rsid w:val="0029357B"/>
    <w:rsid w:val="00293E1D"/>
    <w:rsid w:val="0029414A"/>
    <w:rsid w:val="00295227"/>
    <w:rsid w:val="00296AD5"/>
    <w:rsid w:val="00296E37"/>
    <w:rsid w:val="00296FE8"/>
    <w:rsid w:val="002A2D50"/>
    <w:rsid w:val="002A32F6"/>
    <w:rsid w:val="002A746A"/>
    <w:rsid w:val="002B2067"/>
    <w:rsid w:val="002B217F"/>
    <w:rsid w:val="002B311B"/>
    <w:rsid w:val="002B31C2"/>
    <w:rsid w:val="002B40A4"/>
    <w:rsid w:val="002B500D"/>
    <w:rsid w:val="002B53E6"/>
    <w:rsid w:val="002B7185"/>
    <w:rsid w:val="002B7807"/>
    <w:rsid w:val="002B785F"/>
    <w:rsid w:val="002B7E71"/>
    <w:rsid w:val="002C0F01"/>
    <w:rsid w:val="002C0FEA"/>
    <w:rsid w:val="002C1EEE"/>
    <w:rsid w:val="002C405A"/>
    <w:rsid w:val="002C4225"/>
    <w:rsid w:val="002C663C"/>
    <w:rsid w:val="002C66C4"/>
    <w:rsid w:val="002D0A6A"/>
    <w:rsid w:val="002D1B99"/>
    <w:rsid w:val="002D1D6F"/>
    <w:rsid w:val="002D2765"/>
    <w:rsid w:val="002D2AC7"/>
    <w:rsid w:val="002D2C05"/>
    <w:rsid w:val="002D2DF9"/>
    <w:rsid w:val="002D333A"/>
    <w:rsid w:val="002D5B01"/>
    <w:rsid w:val="002E1A3C"/>
    <w:rsid w:val="002E340F"/>
    <w:rsid w:val="002E6DFE"/>
    <w:rsid w:val="002E7A20"/>
    <w:rsid w:val="002E7E3C"/>
    <w:rsid w:val="002F07B3"/>
    <w:rsid w:val="002F341C"/>
    <w:rsid w:val="00300B10"/>
    <w:rsid w:val="003011AF"/>
    <w:rsid w:val="003021A2"/>
    <w:rsid w:val="00302E27"/>
    <w:rsid w:val="0030374A"/>
    <w:rsid w:val="00306D8B"/>
    <w:rsid w:val="0030750F"/>
    <w:rsid w:val="003075EE"/>
    <w:rsid w:val="00310191"/>
    <w:rsid w:val="00311298"/>
    <w:rsid w:val="003117E7"/>
    <w:rsid w:val="0031205F"/>
    <w:rsid w:val="0031285F"/>
    <w:rsid w:val="003147D3"/>
    <w:rsid w:val="00315B15"/>
    <w:rsid w:val="00315BDB"/>
    <w:rsid w:val="00320589"/>
    <w:rsid w:val="00320830"/>
    <w:rsid w:val="00322A98"/>
    <w:rsid w:val="00323616"/>
    <w:rsid w:val="00324146"/>
    <w:rsid w:val="0032574F"/>
    <w:rsid w:val="00325B5E"/>
    <w:rsid w:val="00326577"/>
    <w:rsid w:val="00326775"/>
    <w:rsid w:val="00326E11"/>
    <w:rsid w:val="0032739D"/>
    <w:rsid w:val="00330282"/>
    <w:rsid w:val="00330B43"/>
    <w:rsid w:val="00331D06"/>
    <w:rsid w:val="00334A4B"/>
    <w:rsid w:val="00334C0E"/>
    <w:rsid w:val="00335AAA"/>
    <w:rsid w:val="0034007C"/>
    <w:rsid w:val="00341CE8"/>
    <w:rsid w:val="00345C17"/>
    <w:rsid w:val="00345CE5"/>
    <w:rsid w:val="0034749E"/>
    <w:rsid w:val="00350648"/>
    <w:rsid w:val="00351DD0"/>
    <w:rsid w:val="00352D36"/>
    <w:rsid w:val="003538B9"/>
    <w:rsid w:val="00353DF2"/>
    <w:rsid w:val="003544A2"/>
    <w:rsid w:val="003559DC"/>
    <w:rsid w:val="00356410"/>
    <w:rsid w:val="00360DAA"/>
    <w:rsid w:val="00361261"/>
    <w:rsid w:val="00361C38"/>
    <w:rsid w:val="0036471E"/>
    <w:rsid w:val="003674F4"/>
    <w:rsid w:val="00367EF8"/>
    <w:rsid w:val="00367FBF"/>
    <w:rsid w:val="0037029A"/>
    <w:rsid w:val="0037118C"/>
    <w:rsid w:val="00371761"/>
    <w:rsid w:val="00371A8A"/>
    <w:rsid w:val="003722E2"/>
    <w:rsid w:val="00372AAA"/>
    <w:rsid w:val="00372AF8"/>
    <w:rsid w:val="003738D0"/>
    <w:rsid w:val="00373A7A"/>
    <w:rsid w:val="00374E68"/>
    <w:rsid w:val="00375C3C"/>
    <w:rsid w:val="00376E45"/>
    <w:rsid w:val="00382C5D"/>
    <w:rsid w:val="00382F0D"/>
    <w:rsid w:val="00384B64"/>
    <w:rsid w:val="0038619E"/>
    <w:rsid w:val="0038686A"/>
    <w:rsid w:val="0038748F"/>
    <w:rsid w:val="00387761"/>
    <w:rsid w:val="0039062D"/>
    <w:rsid w:val="003934A5"/>
    <w:rsid w:val="00395C76"/>
    <w:rsid w:val="003975E2"/>
    <w:rsid w:val="003A3351"/>
    <w:rsid w:val="003A6BC6"/>
    <w:rsid w:val="003A6FE2"/>
    <w:rsid w:val="003B05D8"/>
    <w:rsid w:val="003B1868"/>
    <w:rsid w:val="003B361E"/>
    <w:rsid w:val="003B37EB"/>
    <w:rsid w:val="003B403A"/>
    <w:rsid w:val="003C073B"/>
    <w:rsid w:val="003C2113"/>
    <w:rsid w:val="003C287D"/>
    <w:rsid w:val="003C28EF"/>
    <w:rsid w:val="003C4246"/>
    <w:rsid w:val="003C657E"/>
    <w:rsid w:val="003C69BB"/>
    <w:rsid w:val="003C72FA"/>
    <w:rsid w:val="003C752D"/>
    <w:rsid w:val="003D042B"/>
    <w:rsid w:val="003D1B86"/>
    <w:rsid w:val="003D4509"/>
    <w:rsid w:val="003D49C2"/>
    <w:rsid w:val="003D4A38"/>
    <w:rsid w:val="003D6978"/>
    <w:rsid w:val="003D7262"/>
    <w:rsid w:val="003E0C0A"/>
    <w:rsid w:val="003E143E"/>
    <w:rsid w:val="003E171D"/>
    <w:rsid w:val="003E3904"/>
    <w:rsid w:val="003E435C"/>
    <w:rsid w:val="003E4E5F"/>
    <w:rsid w:val="003E506E"/>
    <w:rsid w:val="003E5B64"/>
    <w:rsid w:val="003E5FAD"/>
    <w:rsid w:val="003E6057"/>
    <w:rsid w:val="003E69C7"/>
    <w:rsid w:val="003F0BC2"/>
    <w:rsid w:val="003F1315"/>
    <w:rsid w:val="003F1DD6"/>
    <w:rsid w:val="003F243C"/>
    <w:rsid w:val="003F35A0"/>
    <w:rsid w:val="003F406B"/>
    <w:rsid w:val="003F6804"/>
    <w:rsid w:val="003F7838"/>
    <w:rsid w:val="00400A92"/>
    <w:rsid w:val="004012DD"/>
    <w:rsid w:val="00401A2A"/>
    <w:rsid w:val="00407E79"/>
    <w:rsid w:val="00410EAB"/>
    <w:rsid w:val="00411C90"/>
    <w:rsid w:val="004122E6"/>
    <w:rsid w:val="0041236D"/>
    <w:rsid w:val="00414610"/>
    <w:rsid w:val="00415A64"/>
    <w:rsid w:val="0041649A"/>
    <w:rsid w:val="00416748"/>
    <w:rsid w:val="00416765"/>
    <w:rsid w:val="00416834"/>
    <w:rsid w:val="0041734A"/>
    <w:rsid w:val="0041769C"/>
    <w:rsid w:val="00417D62"/>
    <w:rsid w:val="00417EA6"/>
    <w:rsid w:val="0042062D"/>
    <w:rsid w:val="0042063D"/>
    <w:rsid w:val="00422A66"/>
    <w:rsid w:val="00422D91"/>
    <w:rsid w:val="004246D7"/>
    <w:rsid w:val="00426E64"/>
    <w:rsid w:val="00431670"/>
    <w:rsid w:val="00431F61"/>
    <w:rsid w:val="00432033"/>
    <w:rsid w:val="0043401D"/>
    <w:rsid w:val="00440235"/>
    <w:rsid w:val="004405A2"/>
    <w:rsid w:val="00441C4B"/>
    <w:rsid w:val="004423ED"/>
    <w:rsid w:val="004438A0"/>
    <w:rsid w:val="00443A1E"/>
    <w:rsid w:val="00443DE5"/>
    <w:rsid w:val="00444DFC"/>
    <w:rsid w:val="004504E2"/>
    <w:rsid w:val="00454BBF"/>
    <w:rsid w:val="004572B8"/>
    <w:rsid w:val="0046039B"/>
    <w:rsid w:val="0046163B"/>
    <w:rsid w:val="00462C6E"/>
    <w:rsid w:val="00462F3E"/>
    <w:rsid w:val="00464006"/>
    <w:rsid w:val="00465552"/>
    <w:rsid w:val="0046627E"/>
    <w:rsid w:val="00470871"/>
    <w:rsid w:val="00470D54"/>
    <w:rsid w:val="00471205"/>
    <w:rsid w:val="00471EF8"/>
    <w:rsid w:val="0047212F"/>
    <w:rsid w:val="00472670"/>
    <w:rsid w:val="0047346A"/>
    <w:rsid w:val="0047375F"/>
    <w:rsid w:val="0047536E"/>
    <w:rsid w:val="00475905"/>
    <w:rsid w:val="0048023C"/>
    <w:rsid w:val="00481ECD"/>
    <w:rsid w:val="00482924"/>
    <w:rsid w:val="00483DC8"/>
    <w:rsid w:val="0048479C"/>
    <w:rsid w:val="0048480D"/>
    <w:rsid w:val="00492173"/>
    <w:rsid w:val="004924EF"/>
    <w:rsid w:val="004946F9"/>
    <w:rsid w:val="00495BED"/>
    <w:rsid w:val="00496C17"/>
    <w:rsid w:val="00497863"/>
    <w:rsid w:val="004A0485"/>
    <w:rsid w:val="004A053C"/>
    <w:rsid w:val="004A09E5"/>
    <w:rsid w:val="004A3F4B"/>
    <w:rsid w:val="004A6791"/>
    <w:rsid w:val="004B0F4E"/>
    <w:rsid w:val="004B138A"/>
    <w:rsid w:val="004B314B"/>
    <w:rsid w:val="004B3DBB"/>
    <w:rsid w:val="004B47A5"/>
    <w:rsid w:val="004B5FED"/>
    <w:rsid w:val="004B6C70"/>
    <w:rsid w:val="004C1292"/>
    <w:rsid w:val="004C48C4"/>
    <w:rsid w:val="004C4B5A"/>
    <w:rsid w:val="004C776C"/>
    <w:rsid w:val="004C7F1B"/>
    <w:rsid w:val="004D07A5"/>
    <w:rsid w:val="004D07BA"/>
    <w:rsid w:val="004D1A51"/>
    <w:rsid w:val="004D4DC9"/>
    <w:rsid w:val="004D4E1B"/>
    <w:rsid w:val="004D779B"/>
    <w:rsid w:val="004E2234"/>
    <w:rsid w:val="004E2290"/>
    <w:rsid w:val="004E264B"/>
    <w:rsid w:val="004E3EB7"/>
    <w:rsid w:val="004E5C99"/>
    <w:rsid w:val="004E74DA"/>
    <w:rsid w:val="004E7B8C"/>
    <w:rsid w:val="004F2F6A"/>
    <w:rsid w:val="004F56B3"/>
    <w:rsid w:val="004F5F6B"/>
    <w:rsid w:val="004F607E"/>
    <w:rsid w:val="00500E0C"/>
    <w:rsid w:val="00501064"/>
    <w:rsid w:val="00501590"/>
    <w:rsid w:val="00503444"/>
    <w:rsid w:val="00510408"/>
    <w:rsid w:val="005131E6"/>
    <w:rsid w:val="00515249"/>
    <w:rsid w:val="00515888"/>
    <w:rsid w:val="00515B8E"/>
    <w:rsid w:val="0051660B"/>
    <w:rsid w:val="00517014"/>
    <w:rsid w:val="005219C4"/>
    <w:rsid w:val="00523D35"/>
    <w:rsid w:val="005243B6"/>
    <w:rsid w:val="00533B25"/>
    <w:rsid w:val="00533C38"/>
    <w:rsid w:val="0053467A"/>
    <w:rsid w:val="00534B22"/>
    <w:rsid w:val="00534D91"/>
    <w:rsid w:val="005357B2"/>
    <w:rsid w:val="00536138"/>
    <w:rsid w:val="0053654D"/>
    <w:rsid w:val="00536632"/>
    <w:rsid w:val="00537EE4"/>
    <w:rsid w:val="00542AB8"/>
    <w:rsid w:val="00542AC9"/>
    <w:rsid w:val="00544182"/>
    <w:rsid w:val="00545BDD"/>
    <w:rsid w:val="00550422"/>
    <w:rsid w:val="00552306"/>
    <w:rsid w:val="00552AAE"/>
    <w:rsid w:val="00553970"/>
    <w:rsid w:val="00554665"/>
    <w:rsid w:val="005610CE"/>
    <w:rsid w:val="0056115B"/>
    <w:rsid w:val="00561FF0"/>
    <w:rsid w:val="00563E48"/>
    <w:rsid w:val="00566697"/>
    <w:rsid w:val="00566E89"/>
    <w:rsid w:val="00567B42"/>
    <w:rsid w:val="00567CFD"/>
    <w:rsid w:val="00570EF9"/>
    <w:rsid w:val="00571B18"/>
    <w:rsid w:val="00572E56"/>
    <w:rsid w:val="00574108"/>
    <w:rsid w:val="005767A3"/>
    <w:rsid w:val="00577B18"/>
    <w:rsid w:val="005812C1"/>
    <w:rsid w:val="00584A57"/>
    <w:rsid w:val="00585DF9"/>
    <w:rsid w:val="0058673C"/>
    <w:rsid w:val="00586B3B"/>
    <w:rsid w:val="00590C3B"/>
    <w:rsid w:val="00593598"/>
    <w:rsid w:val="00594565"/>
    <w:rsid w:val="00594FDB"/>
    <w:rsid w:val="00596531"/>
    <w:rsid w:val="00596683"/>
    <w:rsid w:val="00597605"/>
    <w:rsid w:val="00597D23"/>
    <w:rsid w:val="005A1AFE"/>
    <w:rsid w:val="005A20B6"/>
    <w:rsid w:val="005A2560"/>
    <w:rsid w:val="005A526C"/>
    <w:rsid w:val="005B01E8"/>
    <w:rsid w:val="005B0584"/>
    <w:rsid w:val="005B20C5"/>
    <w:rsid w:val="005B4E83"/>
    <w:rsid w:val="005B639D"/>
    <w:rsid w:val="005B6A29"/>
    <w:rsid w:val="005C0830"/>
    <w:rsid w:val="005C305E"/>
    <w:rsid w:val="005C4CAB"/>
    <w:rsid w:val="005C6088"/>
    <w:rsid w:val="005C68ED"/>
    <w:rsid w:val="005C7B51"/>
    <w:rsid w:val="005C7CD4"/>
    <w:rsid w:val="005D3A14"/>
    <w:rsid w:val="005D5895"/>
    <w:rsid w:val="005D6CB4"/>
    <w:rsid w:val="005E09D5"/>
    <w:rsid w:val="005E0B58"/>
    <w:rsid w:val="005E0DFB"/>
    <w:rsid w:val="005E12BF"/>
    <w:rsid w:val="005E1CF2"/>
    <w:rsid w:val="005E2BD5"/>
    <w:rsid w:val="005E6899"/>
    <w:rsid w:val="005E6D3E"/>
    <w:rsid w:val="005E6F64"/>
    <w:rsid w:val="005E7C51"/>
    <w:rsid w:val="005E7EA3"/>
    <w:rsid w:val="005E7EB8"/>
    <w:rsid w:val="005F2548"/>
    <w:rsid w:val="005F2B2E"/>
    <w:rsid w:val="005F59F2"/>
    <w:rsid w:val="005F5B72"/>
    <w:rsid w:val="005F7B80"/>
    <w:rsid w:val="005F7BA8"/>
    <w:rsid w:val="0060051A"/>
    <w:rsid w:val="00602D10"/>
    <w:rsid w:val="00603CDC"/>
    <w:rsid w:val="0060489D"/>
    <w:rsid w:val="0060698D"/>
    <w:rsid w:val="00612E9A"/>
    <w:rsid w:val="006138EE"/>
    <w:rsid w:val="0061395A"/>
    <w:rsid w:val="00614F5E"/>
    <w:rsid w:val="00615365"/>
    <w:rsid w:val="00615AAB"/>
    <w:rsid w:val="006162E8"/>
    <w:rsid w:val="00617649"/>
    <w:rsid w:val="00617A0B"/>
    <w:rsid w:val="00617E88"/>
    <w:rsid w:val="00620742"/>
    <w:rsid w:val="006207F2"/>
    <w:rsid w:val="00622603"/>
    <w:rsid w:val="0062328A"/>
    <w:rsid w:val="00624084"/>
    <w:rsid w:val="006251E2"/>
    <w:rsid w:val="00626712"/>
    <w:rsid w:val="006268BF"/>
    <w:rsid w:val="00626BF5"/>
    <w:rsid w:val="00631E57"/>
    <w:rsid w:val="006330E5"/>
    <w:rsid w:val="006335B8"/>
    <w:rsid w:val="006337A3"/>
    <w:rsid w:val="00634252"/>
    <w:rsid w:val="006356FA"/>
    <w:rsid w:val="00643EFA"/>
    <w:rsid w:val="006449FF"/>
    <w:rsid w:val="00651062"/>
    <w:rsid w:val="00654900"/>
    <w:rsid w:val="00654FDF"/>
    <w:rsid w:val="006558BA"/>
    <w:rsid w:val="0066030A"/>
    <w:rsid w:val="00661EE8"/>
    <w:rsid w:val="006626DD"/>
    <w:rsid w:val="00663C92"/>
    <w:rsid w:val="006649A1"/>
    <w:rsid w:val="006651F8"/>
    <w:rsid w:val="00665A32"/>
    <w:rsid w:val="00665B23"/>
    <w:rsid w:val="00665E8D"/>
    <w:rsid w:val="00667A59"/>
    <w:rsid w:val="00671565"/>
    <w:rsid w:val="00671AC9"/>
    <w:rsid w:val="00672951"/>
    <w:rsid w:val="00674EFD"/>
    <w:rsid w:val="006751D0"/>
    <w:rsid w:val="0067664F"/>
    <w:rsid w:val="006767DA"/>
    <w:rsid w:val="00677DDF"/>
    <w:rsid w:val="0068040C"/>
    <w:rsid w:val="0068083B"/>
    <w:rsid w:val="00680AB6"/>
    <w:rsid w:val="00680D15"/>
    <w:rsid w:val="0068295A"/>
    <w:rsid w:val="0068511F"/>
    <w:rsid w:val="00685D1A"/>
    <w:rsid w:val="006874F7"/>
    <w:rsid w:val="0069020B"/>
    <w:rsid w:val="0069188A"/>
    <w:rsid w:val="00692759"/>
    <w:rsid w:val="00692F85"/>
    <w:rsid w:val="00693847"/>
    <w:rsid w:val="00694B81"/>
    <w:rsid w:val="0069525B"/>
    <w:rsid w:val="00696B41"/>
    <w:rsid w:val="00697895"/>
    <w:rsid w:val="00697EAE"/>
    <w:rsid w:val="006A12AD"/>
    <w:rsid w:val="006A3EB2"/>
    <w:rsid w:val="006A45BA"/>
    <w:rsid w:val="006A7BB6"/>
    <w:rsid w:val="006B10B2"/>
    <w:rsid w:val="006B14E6"/>
    <w:rsid w:val="006B4E27"/>
    <w:rsid w:val="006B502D"/>
    <w:rsid w:val="006B565C"/>
    <w:rsid w:val="006B5A8C"/>
    <w:rsid w:val="006C0CAD"/>
    <w:rsid w:val="006C1A1B"/>
    <w:rsid w:val="006D01BA"/>
    <w:rsid w:val="006D21CE"/>
    <w:rsid w:val="006D3933"/>
    <w:rsid w:val="006D3BF8"/>
    <w:rsid w:val="006D3E34"/>
    <w:rsid w:val="006D45D7"/>
    <w:rsid w:val="006D4C8B"/>
    <w:rsid w:val="006D5B2D"/>
    <w:rsid w:val="006D5EE2"/>
    <w:rsid w:val="006E28E0"/>
    <w:rsid w:val="006E2CEC"/>
    <w:rsid w:val="006E3069"/>
    <w:rsid w:val="006E47E1"/>
    <w:rsid w:val="006F0CFA"/>
    <w:rsid w:val="006F1F09"/>
    <w:rsid w:val="006F32D4"/>
    <w:rsid w:val="006F3B2D"/>
    <w:rsid w:val="006F4495"/>
    <w:rsid w:val="006F63DF"/>
    <w:rsid w:val="006F651E"/>
    <w:rsid w:val="006F6833"/>
    <w:rsid w:val="006F6A24"/>
    <w:rsid w:val="006F764A"/>
    <w:rsid w:val="006F77AF"/>
    <w:rsid w:val="006F7B8A"/>
    <w:rsid w:val="00700891"/>
    <w:rsid w:val="00701449"/>
    <w:rsid w:val="007017B0"/>
    <w:rsid w:val="00702E8C"/>
    <w:rsid w:val="007037B2"/>
    <w:rsid w:val="00704CA9"/>
    <w:rsid w:val="00704E39"/>
    <w:rsid w:val="00704ED6"/>
    <w:rsid w:val="007068A3"/>
    <w:rsid w:val="00707E10"/>
    <w:rsid w:val="00710CC1"/>
    <w:rsid w:val="00711EC0"/>
    <w:rsid w:val="00712161"/>
    <w:rsid w:val="00713629"/>
    <w:rsid w:val="007157D9"/>
    <w:rsid w:val="00716611"/>
    <w:rsid w:val="00721CD5"/>
    <w:rsid w:val="00723348"/>
    <w:rsid w:val="00723F71"/>
    <w:rsid w:val="007251EB"/>
    <w:rsid w:val="00725E79"/>
    <w:rsid w:val="00726434"/>
    <w:rsid w:val="0072666A"/>
    <w:rsid w:val="00730BF8"/>
    <w:rsid w:val="00730C89"/>
    <w:rsid w:val="00730FD1"/>
    <w:rsid w:val="00731526"/>
    <w:rsid w:val="00732246"/>
    <w:rsid w:val="00732605"/>
    <w:rsid w:val="007335F0"/>
    <w:rsid w:val="00733D25"/>
    <w:rsid w:val="00734CB4"/>
    <w:rsid w:val="00737AD6"/>
    <w:rsid w:val="0074143E"/>
    <w:rsid w:val="00742C26"/>
    <w:rsid w:val="007458E4"/>
    <w:rsid w:val="007506FC"/>
    <w:rsid w:val="00751385"/>
    <w:rsid w:val="00753C81"/>
    <w:rsid w:val="0075426B"/>
    <w:rsid w:val="00755552"/>
    <w:rsid w:val="00757D77"/>
    <w:rsid w:val="00762267"/>
    <w:rsid w:val="007623D6"/>
    <w:rsid w:val="00762B35"/>
    <w:rsid w:val="00762C57"/>
    <w:rsid w:val="007641F6"/>
    <w:rsid w:val="0076436F"/>
    <w:rsid w:val="007645BD"/>
    <w:rsid w:val="00764A70"/>
    <w:rsid w:val="0076729A"/>
    <w:rsid w:val="00767321"/>
    <w:rsid w:val="00767DDF"/>
    <w:rsid w:val="007712F5"/>
    <w:rsid w:val="00771BAF"/>
    <w:rsid w:val="0077224D"/>
    <w:rsid w:val="00774A9B"/>
    <w:rsid w:val="00776AB0"/>
    <w:rsid w:val="0077785B"/>
    <w:rsid w:val="00781686"/>
    <w:rsid w:val="00782197"/>
    <w:rsid w:val="00783FD5"/>
    <w:rsid w:val="00785202"/>
    <w:rsid w:val="00785CF1"/>
    <w:rsid w:val="0078767B"/>
    <w:rsid w:val="00791F6E"/>
    <w:rsid w:val="00792443"/>
    <w:rsid w:val="00793259"/>
    <w:rsid w:val="0079385F"/>
    <w:rsid w:val="00795BA9"/>
    <w:rsid w:val="007A1414"/>
    <w:rsid w:val="007A1AF8"/>
    <w:rsid w:val="007A1D4C"/>
    <w:rsid w:val="007A2031"/>
    <w:rsid w:val="007A28B8"/>
    <w:rsid w:val="007A3693"/>
    <w:rsid w:val="007A36FF"/>
    <w:rsid w:val="007A4932"/>
    <w:rsid w:val="007A559A"/>
    <w:rsid w:val="007A72CC"/>
    <w:rsid w:val="007B1082"/>
    <w:rsid w:val="007B3CC5"/>
    <w:rsid w:val="007C056A"/>
    <w:rsid w:val="007C2063"/>
    <w:rsid w:val="007C2569"/>
    <w:rsid w:val="007C546D"/>
    <w:rsid w:val="007C68ED"/>
    <w:rsid w:val="007C7190"/>
    <w:rsid w:val="007C7D68"/>
    <w:rsid w:val="007D0963"/>
    <w:rsid w:val="007D0BCA"/>
    <w:rsid w:val="007D4484"/>
    <w:rsid w:val="007D687E"/>
    <w:rsid w:val="007E026A"/>
    <w:rsid w:val="007E118D"/>
    <w:rsid w:val="007E18E2"/>
    <w:rsid w:val="007F0E26"/>
    <w:rsid w:val="007F1113"/>
    <w:rsid w:val="007F3BEB"/>
    <w:rsid w:val="007F4DCB"/>
    <w:rsid w:val="007F6F70"/>
    <w:rsid w:val="007F7109"/>
    <w:rsid w:val="00800E5F"/>
    <w:rsid w:val="00802888"/>
    <w:rsid w:val="00803F80"/>
    <w:rsid w:val="008044B5"/>
    <w:rsid w:val="00804B50"/>
    <w:rsid w:val="0080734C"/>
    <w:rsid w:val="008104A5"/>
    <w:rsid w:val="00810537"/>
    <w:rsid w:val="008117D0"/>
    <w:rsid w:val="00812025"/>
    <w:rsid w:val="00812AEA"/>
    <w:rsid w:val="00812EB6"/>
    <w:rsid w:val="00814543"/>
    <w:rsid w:val="008166FA"/>
    <w:rsid w:val="00816806"/>
    <w:rsid w:val="0081690F"/>
    <w:rsid w:val="00816BC7"/>
    <w:rsid w:val="00820121"/>
    <w:rsid w:val="008202A4"/>
    <w:rsid w:val="00820436"/>
    <w:rsid w:val="00821C1E"/>
    <w:rsid w:val="0082217E"/>
    <w:rsid w:val="00823ED7"/>
    <w:rsid w:val="00823F0C"/>
    <w:rsid w:val="0082435B"/>
    <w:rsid w:val="00824F42"/>
    <w:rsid w:val="00825269"/>
    <w:rsid w:val="00825776"/>
    <w:rsid w:val="008302DB"/>
    <w:rsid w:val="0083082E"/>
    <w:rsid w:val="008353B3"/>
    <w:rsid w:val="008377F5"/>
    <w:rsid w:val="00837928"/>
    <w:rsid w:val="00837FEE"/>
    <w:rsid w:val="00840613"/>
    <w:rsid w:val="00840D90"/>
    <w:rsid w:val="00842845"/>
    <w:rsid w:val="0085184E"/>
    <w:rsid w:val="00851ECD"/>
    <w:rsid w:val="008522F9"/>
    <w:rsid w:val="0085297C"/>
    <w:rsid w:val="00853E22"/>
    <w:rsid w:val="008542B4"/>
    <w:rsid w:val="00854D68"/>
    <w:rsid w:val="00855526"/>
    <w:rsid w:val="008577C6"/>
    <w:rsid w:val="00861FB0"/>
    <w:rsid w:val="0086386C"/>
    <w:rsid w:val="00864C74"/>
    <w:rsid w:val="00865DC0"/>
    <w:rsid w:val="008677CD"/>
    <w:rsid w:val="0087285A"/>
    <w:rsid w:val="0087762B"/>
    <w:rsid w:val="00881587"/>
    <w:rsid w:val="0088382A"/>
    <w:rsid w:val="0088406A"/>
    <w:rsid w:val="008854E2"/>
    <w:rsid w:val="00886300"/>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1BEF"/>
    <w:rsid w:val="008A21FB"/>
    <w:rsid w:val="008A24AD"/>
    <w:rsid w:val="008A3161"/>
    <w:rsid w:val="008A4DCA"/>
    <w:rsid w:val="008A51FC"/>
    <w:rsid w:val="008A5844"/>
    <w:rsid w:val="008A6445"/>
    <w:rsid w:val="008B031D"/>
    <w:rsid w:val="008B0538"/>
    <w:rsid w:val="008B062E"/>
    <w:rsid w:val="008B31A1"/>
    <w:rsid w:val="008B34A1"/>
    <w:rsid w:val="008B4028"/>
    <w:rsid w:val="008B5C74"/>
    <w:rsid w:val="008B716C"/>
    <w:rsid w:val="008B75CB"/>
    <w:rsid w:val="008C0C70"/>
    <w:rsid w:val="008C147A"/>
    <w:rsid w:val="008C27E1"/>
    <w:rsid w:val="008C29D5"/>
    <w:rsid w:val="008C3BDB"/>
    <w:rsid w:val="008C5693"/>
    <w:rsid w:val="008C6075"/>
    <w:rsid w:val="008D2063"/>
    <w:rsid w:val="008D4247"/>
    <w:rsid w:val="008D4427"/>
    <w:rsid w:val="008D4BF8"/>
    <w:rsid w:val="008D52E5"/>
    <w:rsid w:val="008D58A0"/>
    <w:rsid w:val="008D6EA2"/>
    <w:rsid w:val="008E2DDA"/>
    <w:rsid w:val="008E537F"/>
    <w:rsid w:val="008E6AD5"/>
    <w:rsid w:val="008F0BAA"/>
    <w:rsid w:val="008F15C9"/>
    <w:rsid w:val="008F1A96"/>
    <w:rsid w:val="008F404E"/>
    <w:rsid w:val="009000B2"/>
    <w:rsid w:val="00903DD0"/>
    <w:rsid w:val="009043EB"/>
    <w:rsid w:val="0090658C"/>
    <w:rsid w:val="009101EB"/>
    <w:rsid w:val="00910448"/>
    <w:rsid w:val="009121AD"/>
    <w:rsid w:val="00913473"/>
    <w:rsid w:val="00913B7B"/>
    <w:rsid w:val="009141F3"/>
    <w:rsid w:val="0091430E"/>
    <w:rsid w:val="00914661"/>
    <w:rsid w:val="00915A81"/>
    <w:rsid w:val="009169BF"/>
    <w:rsid w:val="00921C2C"/>
    <w:rsid w:val="0092377C"/>
    <w:rsid w:val="00927547"/>
    <w:rsid w:val="00930F92"/>
    <w:rsid w:val="0093244D"/>
    <w:rsid w:val="00933004"/>
    <w:rsid w:val="009342F2"/>
    <w:rsid w:val="00934D1D"/>
    <w:rsid w:val="00934D87"/>
    <w:rsid w:val="00935685"/>
    <w:rsid w:val="00937264"/>
    <w:rsid w:val="009410E7"/>
    <w:rsid w:val="00941576"/>
    <w:rsid w:val="0094350E"/>
    <w:rsid w:val="00950696"/>
    <w:rsid w:val="00953A11"/>
    <w:rsid w:val="00956A68"/>
    <w:rsid w:val="00957560"/>
    <w:rsid w:val="0096034E"/>
    <w:rsid w:val="0096071D"/>
    <w:rsid w:val="00960935"/>
    <w:rsid w:val="00960AFD"/>
    <w:rsid w:val="009612CB"/>
    <w:rsid w:val="0096242B"/>
    <w:rsid w:val="0096336F"/>
    <w:rsid w:val="00964294"/>
    <w:rsid w:val="00964536"/>
    <w:rsid w:val="009723CB"/>
    <w:rsid w:val="0097244E"/>
    <w:rsid w:val="00972FB9"/>
    <w:rsid w:val="00975A68"/>
    <w:rsid w:val="00977508"/>
    <w:rsid w:val="00977967"/>
    <w:rsid w:val="00977CDD"/>
    <w:rsid w:val="00980712"/>
    <w:rsid w:val="00980B61"/>
    <w:rsid w:val="009852C6"/>
    <w:rsid w:val="00985984"/>
    <w:rsid w:val="00985E9C"/>
    <w:rsid w:val="00990772"/>
    <w:rsid w:val="00991978"/>
    <w:rsid w:val="00992A6E"/>
    <w:rsid w:val="00995342"/>
    <w:rsid w:val="0099728B"/>
    <w:rsid w:val="009A1248"/>
    <w:rsid w:val="009A711B"/>
    <w:rsid w:val="009A7939"/>
    <w:rsid w:val="009B0A33"/>
    <w:rsid w:val="009B0F40"/>
    <w:rsid w:val="009B10C7"/>
    <w:rsid w:val="009B1474"/>
    <w:rsid w:val="009B605C"/>
    <w:rsid w:val="009B73B6"/>
    <w:rsid w:val="009C0BB4"/>
    <w:rsid w:val="009C102A"/>
    <w:rsid w:val="009C2052"/>
    <w:rsid w:val="009C2357"/>
    <w:rsid w:val="009C23CA"/>
    <w:rsid w:val="009C5A50"/>
    <w:rsid w:val="009C7169"/>
    <w:rsid w:val="009C7406"/>
    <w:rsid w:val="009C761F"/>
    <w:rsid w:val="009C78B1"/>
    <w:rsid w:val="009D1B2E"/>
    <w:rsid w:val="009D1F80"/>
    <w:rsid w:val="009D584A"/>
    <w:rsid w:val="009D643D"/>
    <w:rsid w:val="009D7200"/>
    <w:rsid w:val="009E1D7A"/>
    <w:rsid w:val="009E37EF"/>
    <w:rsid w:val="009E40A9"/>
    <w:rsid w:val="009E64E5"/>
    <w:rsid w:val="009F1085"/>
    <w:rsid w:val="009F15E0"/>
    <w:rsid w:val="009F53CF"/>
    <w:rsid w:val="009F592D"/>
    <w:rsid w:val="009F6BAE"/>
    <w:rsid w:val="009F7A08"/>
    <w:rsid w:val="00A002A4"/>
    <w:rsid w:val="00A009BF"/>
    <w:rsid w:val="00A012BD"/>
    <w:rsid w:val="00A029CE"/>
    <w:rsid w:val="00A06AD5"/>
    <w:rsid w:val="00A07017"/>
    <w:rsid w:val="00A07262"/>
    <w:rsid w:val="00A10B4E"/>
    <w:rsid w:val="00A117C8"/>
    <w:rsid w:val="00A12B3F"/>
    <w:rsid w:val="00A12E72"/>
    <w:rsid w:val="00A137EB"/>
    <w:rsid w:val="00A1393F"/>
    <w:rsid w:val="00A13DE4"/>
    <w:rsid w:val="00A1498B"/>
    <w:rsid w:val="00A15EFE"/>
    <w:rsid w:val="00A1674E"/>
    <w:rsid w:val="00A17AD9"/>
    <w:rsid w:val="00A20028"/>
    <w:rsid w:val="00A20B04"/>
    <w:rsid w:val="00A21C28"/>
    <w:rsid w:val="00A22B64"/>
    <w:rsid w:val="00A22DD4"/>
    <w:rsid w:val="00A23F7F"/>
    <w:rsid w:val="00A2435D"/>
    <w:rsid w:val="00A2451D"/>
    <w:rsid w:val="00A25BBA"/>
    <w:rsid w:val="00A27693"/>
    <w:rsid w:val="00A27A88"/>
    <w:rsid w:val="00A309A8"/>
    <w:rsid w:val="00A32219"/>
    <w:rsid w:val="00A33E18"/>
    <w:rsid w:val="00A33E79"/>
    <w:rsid w:val="00A348F8"/>
    <w:rsid w:val="00A35C58"/>
    <w:rsid w:val="00A43160"/>
    <w:rsid w:val="00A44573"/>
    <w:rsid w:val="00A467A7"/>
    <w:rsid w:val="00A52C4F"/>
    <w:rsid w:val="00A53F88"/>
    <w:rsid w:val="00A5442B"/>
    <w:rsid w:val="00A54B8A"/>
    <w:rsid w:val="00A55895"/>
    <w:rsid w:val="00A55F05"/>
    <w:rsid w:val="00A57542"/>
    <w:rsid w:val="00A61F74"/>
    <w:rsid w:val="00A62A39"/>
    <w:rsid w:val="00A62A73"/>
    <w:rsid w:val="00A6483D"/>
    <w:rsid w:val="00A649C6"/>
    <w:rsid w:val="00A70055"/>
    <w:rsid w:val="00A73034"/>
    <w:rsid w:val="00A7671D"/>
    <w:rsid w:val="00A809D5"/>
    <w:rsid w:val="00A812E7"/>
    <w:rsid w:val="00A8197B"/>
    <w:rsid w:val="00A82654"/>
    <w:rsid w:val="00A834F0"/>
    <w:rsid w:val="00A85189"/>
    <w:rsid w:val="00A875BF"/>
    <w:rsid w:val="00A93522"/>
    <w:rsid w:val="00A93CDF"/>
    <w:rsid w:val="00A95B73"/>
    <w:rsid w:val="00A974B6"/>
    <w:rsid w:val="00AA0B92"/>
    <w:rsid w:val="00AA0E9F"/>
    <w:rsid w:val="00AA3AEF"/>
    <w:rsid w:val="00AA3B5E"/>
    <w:rsid w:val="00AA4686"/>
    <w:rsid w:val="00AA52AF"/>
    <w:rsid w:val="00AB02A3"/>
    <w:rsid w:val="00AB1052"/>
    <w:rsid w:val="00AB164E"/>
    <w:rsid w:val="00AB4E56"/>
    <w:rsid w:val="00AB6621"/>
    <w:rsid w:val="00AB7551"/>
    <w:rsid w:val="00AB787B"/>
    <w:rsid w:val="00AB79B6"/>
    <w:rsid w:val="00AC0077"/>
    <w:rsid w:val="00AC416A"/>
    <w:rsid w:val="00AC778A"/>
    <w:rsid w:val="00AC7E37"/>
    <w:rsid w:val="00AD20E5"/>
    <w:rsid w:val="00AD2903"/>
    <w:rsid w:val="00AD2ED4"/>
    <w:rsid w:val="00AD3A60"/>
    <w:rsid w:val="00AD3CFC"/>
    <w:rsid w:val="00AD4F11"/>
    <w:rsid w:val="00AD67DD"/>
    <w:rsid w:val="00AD7D84"/>
    <w:rsid w:val="00AD7F63"/>
    <w:rsid w:val="00AE0E38"/>
    <w:rsid w:val="00AE13E8"/>
    <w:rsid w:val="00AE217C"/>
    <w:rsid w:val="00AE2885"/>
    <w:rsid w:val="00AE30C3"/>
    <w:rsid w:val="00AE4BC7"/>
    <w:rsid w:val="00AE5908"/>
    <w:rsid w:val="00AE606F"/>
    <w:rsid w:val="00AE6F3C"/>
    <w:rsid w:val="00AF02AD"/>
    <w:rsid w:val="00AF0750"/>
    <w:rsid w:val="00AF14FC"/>
    <w:rsid w:val="00AF1C2E"/>
    <w:rsid w:val="00AF220E"/>
    <w:rsid w:val="00AF225C"/>
    <w:rsid w:val="00AF23BD"/>
    <w:rsid w:val="00AF242C"/>
    <w:rsid w:val="00AF5859"/>
    <w:rsid w:val="00B004D8"/>
    <w:rsid w:val="00B00703"/>
    <w:rsid w:val="00B00F3D"/>
    <w:rsid w:val="00B0167C"/>
    <w:rsid w:val="00B01F36"/>
    <w:rsid w:val="00B02C8F"/>
    <w:rsid w:val="00B0397C"/>
    <w:rsid w:val="00B043E8"/>
    <w:rsid w:val="00B06120"/>
    <w:rsid w:val="00B07130"/>
    <w:rsid w:val="00B072EB"/>
    <w:rsid w:val="00B07862"/>
    <w:rsid w:val="00B07B37"/>
    <w:rsid w:val="00B07C16"/>
    <w:rsid w:val="00B115E2"/>
    <w:rsid w:val="00B13A87"/>
    <w:rsid w:val="00B16CA4"/>
    <w:rsid w:val="00B17179"/>
    <w:rsid w:val="00B216E3"/>
    <w:rsid w:val="00B2398E"/>
    <w:rsid w:val="00B23C77"/>
    <w:rsid w:val="00B25109"/>
    <w:rsid w:val="00B26E4E"/>
    <w:rsid w:val="00B317A9"/>
    <w:rsid w:val="00B31D83"/>
    <w:rsid w:val="00B33573"/>
    <w:rsid w:val="00B34199"/>
    <w:rsid w:val="00B34352"/>
    <w:rsid w:val="00B3443C"/>
    <w:rsid w:val="00B346F0"/>
    <w:rsid w:val="00B35027"/>
    <w:rsid w:val="00B4086C"/>
    <w:rsid w:val="00B430D8"/>
    <w:rsid w:val="00B436AC"/>
    <w:rsid w:val="00B4763A"/>
    <w:rsid w:val="00B508E7"/>
    <w:rsid w:val="00B50C00"/>
    <w:rsid w:val="00B50EC2"/>
    <w:rsid w:val="00B516D9"/>
    <w:rsid w:val="00B523ED"/>
    <w:rsid w:val="00B52763"/>
    <w:rsid w:val="00B539F5"/>
    <w:rsid w:val="00B54E1D"/>
    <w:rsid w:val="00B5553F"/>
    <w:rsid w:val="00B569F2"/>
    <w:rsid w:val="00B56B09"/>
    <w:rsid w:val="00B56B61"/>
    <w:rsid w:val="00B57564"/>
    <w:rsid w:val="00B57F15"/>
    <w:rsid w:val="00B629B1"/>
    <w:rsid w:val="00B62C59"/>
    <w:rsid w:val="00B63458"/>
    <w:rsid w:val="00B63E61"/>
    <w:rsid w:val="00B65F0C"/>
    <w:rsid w:val="00B66E70"/>
    <w:rsid w:val="00B66EA2"/>
    <w:rsid w:val="00B66FE7"/>
    <w:rsid w:val="00B70E42"/>
    <w:rsid w:val="00B712B1"/>
    <w:rsid w:val="00B73236"/>
    <w:rsid w:val="00B7439D"/>
    <w:rsid w:val="00B74B79"/>
    <w:rsid w:val="00B80829"/>
    <w:rsid w:val="00B80851"/>
    <w:rsid w:val="00B82A2C"/>
    <w:rsid w:val="00B839F4"/>
    <w:rsid w:val="00B83DA2"/>
    <w:rsid w:val="00B84155"/>
    <w:rsid w:val="00B8423B"/>
    <w:rsid w:val="00B845C6"/>
    <w:rsid w:val="00B8488F"/>
    <w:rsid w:val="00B854BA"/>
    <w:rsid w:val="00B91335"/>
    <w:rsid w:val="00B92053"/>
    <w:rsid w:val="00B920E5"/>
    <w:rsid w:val="00B925E7"/>
    <w:rsid w:val="00B93BF4"/>
    <w:rsid w:val="00B94F02"/>
    <w:rsid w:val="00B9625F"/>
    <w:rsid w:val="00B967EE"/>
    <w:rsid w:val="00B973A2"/>
    <w:rsid w:val="00B97423"/>
    <w:rsid w:val="00B97850"/>
    <w:rsid w:val="00B97D72"/>
    <w:rsid w:val="00BA072F"/>
    <w:rsid w:val="00BA083A"/>
    <w:rsid w:val="00BA167E"/>
    <w:rsid w:val="00BA3066"/>
    <w:rsid w:val="00BA3517"/>
    <w:rsid w:val="00BA37E1"/>
    <w:rsid w:val="00BA60A9"/>
    <w:rsid w:val="00BA7FA9"/>
    <w:rsid w:val="00BB1AC4"/>
    <w:rsid w:val="00BB25B7"/>
    <w:rsid w:val="00BB29EC"/>
    <w:rsid w:val="00BB3F4A"/>
    <w:rsid w:val="00BB4459"/>
    <w:rsid w:val="00BB589B"/>
    <w:rsid w:val="00BB5FF1"/>
    <w:rsid w:val="00BC0B21"/>
    <w:rsid w:val="00BC0FDE"/>
    <w:rsid w:val="00BC1C79"/>
    <w:rsid w:val="00BC27DC"/>
    <w:rsid w:val="00BC2B64"/>
    <w:rsid w:val="00BC2C47"/>
    <w:rsid w:val="00BC2DB8"/>
    <w:rsid w:val="00BC30F8"/>
    <w:rsid w:val="00BC39CC"/>
    <w:rsid w:val="00BC4B4A"/>
    <w:rsid w:val="00BC4CF0"/>
    <w:rsid w:val="00BC6331"/>
    <w:rsid w:val="00BC6491"/>
    <w:rsid w:val="00BD3FF1"/>
    <w:rsid w:val="00BD48BA"/>
    <w:rsid w:val="00BD6A1D"/>
    <w:rsid w:val="00BD6FA5"/>
    <w:rsid w:val="00BD7493"/>
    <w:rsid w:val="00BE353D"/>
    <w:rsid w:val="00BE578A"/>
    <w:rsid w:val="00BE777A"/>
    <w:rsid w:val="00BF0062"/>
    <w:rsid w:val="00BF09AA"/>
    <w:rsid w:val="00BF0C8F"/>
    <w:rsid w:val="00BF15DE"/>
    <w:rsid w:val="00BF21FE"/>
    <w:rsid w:val="00BF3804"/>
    <w:rsid w:val="00C00CD9"/>
    <w:rsid w:val="00C012E9"/>
    <w:rsid w:val="00C01674"/>
    <w:rsid w:val="00C01865"/>
    <w:rsid w:val="00C030C9"/>
    <w:rsid w:val="00C0740E"/>
    <w:rsid w:val="00C07D39"/>
    <w:rsid w:val="00C104A5"/>
    <w:rsid w:val="00C12426"/>
    <w:rsid w:val="00C12F9D"/>
    <w:rsid w:val="00C17338"/>
    <w:rsid w:val="00C20765"/>
    <w:rsid w:val="00C24751"/>
    <w:rsid w:val="00C24A53"/>
    <w:rsid w:val="00C31A3C"/>
    <w:rsid w:val="00C328A3"/>
    <w:rsid w:val="00C365EE"/>
    <w:rsid w:val="00C37D30"/>
    <w:rsid w:val="00C400EC"/>
    <w:rsid w:val="00C408F8"/>
    <w:rsid w:val="00C40A79"/>
    <w:rsid w:val="00C423F5"/>
    <w:rsid w:val="00C44B37"/>
    <w:rsid w:val="00C45B63"/>
    <w:rsid w:val="00C4620D"/>
    <w:rsid w:val="00C47AA3"/>
    <w:rsid w:val="00C5077A"/>
    <w:rsid w:val="00C50DC5"/>
    <w:rsid w:val="00C50E7C"/>
    <w:rsid w:val="00C52E5D"/>
    <w:rsid w:val="00C543BB"/>
    <w:rsid w:val="00C5476A"/>
    <w:rsid w:val="00C60FD7"/>
    <w:rsid w:val="00C61A74"/>
    <w:rsid w:val="00C61D95"/>
    <w:rsid w:val="00C61E0D"/>
    <w:rsid w:val="00C705B5"/>
    <w:rsid w:val="00C70C0C"/>
    <w:rsid w:val="00C73289"/>
    <w:rsid w:val="00C734AC"/>
    <w:rsid w:val="00C73954"/>
    <w:rsid w:val="00C73CCD"/>
    <w:rsid w:val="00C73DC1"/>
    <w:rsid w:val="00C73E84"/>
    <w:rsid w:val="00C74A9C"/>
    <w:rsid w:val="00C753C3"/>
    <w:rsid w:val="00C76799"/>
    <w:rsid w:val="00C770A1"/>
    <w:rsid w:val="00C81DCE"/>
    <w:rsid w:val="00C84DE1"/>
    <w:rsid w:val="00C8630B"/>
    <w:rsid w:val="00C867B7"/>
    <w:rsid w:val="00C8780F"/>
    <w:rsid w:val="00C90C5E"/>
    <w:rsid w:val="00C91AB6"/>
    <w:rsid w:val="00C92EEF"/>
    <w:rsid w:val="00C93F74"/>
    <w:rsid w:val="00C940FB"/>
    <w:rsid w:val="00C951C6"/>
    <w:rsid w:val="00C95A7C"/>
    <w:rsid w:val="00C96074"/>
    <w:rsid w:val="00C96C7D"/>
    <w:rsid w:val="00C96E7C"/>
    <w:rsid w:val="00CA067D"/>
    <w:rsid w:val="00CA211D"/>
    <w:rsid w:val="00CA476D"/>
    <w:rsid w:val="00CA4B31"/>
    <w:rsid w:val="00CA6E34"/>
    <w:rsid w:val="00CB073A"/>
    <w:rsid w:val="00CB26B2"/>
    <w:rsid w:val="00CB4158"/>
    <w:rsid w:val="00CB49E1"/>
    <w:rsid w:val="00CB77CC"/>
    <w:rsid w:val="00CC2295"/>
    <w:rsid w:val="00CC25C9"/>
    <w:rsid w:val="00CC3962"/>
    <w:rsid w:val="00CC4AD4"/>
    <w:rsid w:val="00CC6CD2"/>
    <w:rsid w:val="00CC7235"/>
    <w:rsid w:val="00CD08B1"/>
    <w:rsid w:val="00CD0F80"/>
    <w:rsid w:val="00CD27EE"/>
    <w:rsid w:val="00CD4463"/>
    <w:rsid w:val="00CD460D"/>
    <w:rsid w:val="00CD52DC"/>
    <w:rsid w:val="00CE34FE"/>
    <w:rsid w:val="00CE4A71"/>
    <w:rsid w:val="00CE5AA5"/>
    <w:rsid w:val="00CE65B4"/>
    <w:rsid w:val="00CE6FA2"/>
    <w:rsid w:val="00CF1019"/>
    <w:rsid w:val="00CF1377"/>
    <w:rsid w:val="00CF241C"/>
    <w:rsid w:val="00CF24AD"/>
    <w:rsid w:val="00CF282A"/>
    <w:rsid w:val="00CF2CE8"/>
    <w:rsid w:val="00CF445D"/>
    <w:rsid w:val="00CF4C7F"/>
    <w:rsid w:val="00CF575D"/>
    <w:rsid w:val="00CF67BB"/>
    <w:rsid w:val="00CF6F7D"/>
    <w:rsid w:val="00CF760B"/>
    <w:rsid w:val="00D00EA6"/>
    <w:rsid w:val="00D0113E"/>
    <w:rsid w:val="00D0283D"/>
    <w:rsid w:val="00D030CC"/>
    <w:rsid w:val="00D03ACD"/>
    <w:rsid w:val="00D048AD"/>
    <w:rsid w:val="00D078EA"/>
    <w:rsid w:val="00D136BD"/>
    <w:rsid w:val="00D1456B"/>
    <w:rsid w:val="00D1461E"/>
    <w:rsid w:val="00D149E1"/>
    <w:rsid w:val="00D15CD0"/>
    <w:rsid w:val="00D15E28"/>
    <w:rsid w:val="00D1730C"/>
    <w:rsid w:val="00D1740E"/>
    <w:rsid w:val="00D177B8"/>
    <w:rsid w:val="00D17AAB"/>
    <w:rsid w:val="00D17EF0"/>
    <w:rsid w:val="00D20784"/>
    <w:rsid w:val="00D2157E"/>
    <w:rsid w:val="00D2260C"/>
    <w:rsid w:val="00D24FBB"/>
    <w:rsid w:val="00D25263"/>
    <w:rsid w:val="00D258B9"/>
    <w:rsid w:val="00D25A5E"/>
    <w:rsid w:val="00D26F3D"/>
    <w:rsid w:val="00D2743D"/>
    <w:rsid w:val="00D31DC2"/>
    <w:rsid w:val="00D31E3E"/>
    <w:rsid w:val="00D34112"/>
    <w:rsid w:val="00D3743D"/>
    <w:rsid w:val="00D428B9"/>
    <w:rsid w:val="00D43A26"/>
    <w:rsid w:val="00D44BFA"/>
    <w:rsid w:val="00D466E4"/>
    <w:rsid w:val="00D4687A"/>
    <w:rsid w:val="00D46C22"/>
    <w:rsid w:val="00D46EC4"/>
    <w:rsid w:val="00D476F9"/>
    <w:rsid w:val="00D53352"/>
    <w:rsid w:val="00D53E37"/>
    <w:rsid w:val="00D54701"/>
    <w:rsid w:val="00D548AB"/>
    <w:rsid w:val="00D55A99"/>
    <w:rsid w:val="00D56552"/>
    <w:rsid w:val="00D5778B"/>
    <w:rsid w:val="00D57CB5"/>
    <w:rsid w:val="00D60E38"/>
    <w:rsid w:val="00D63E5C"/>
    <w:rsid w:val="00D657BC"/>
    <w:rsid w:val="00D65EC2"/>
    <w:rsid w:val="00D65FF3"/>
    <w:rsid w:val="00D74024"/>
    <w:rsid w:val="00D75D1C"/>
    <w:rsid w:val="00D7686A"/>
    <w:rsid w:val="00D769DF"/>
    <w:rsid w:val="00D77805"/>
    <w:rsid w:val="00D77B26"/>
    <w:rsid w:val="00D81A6D"/>
    <w:rsid w:val="00D81BCA"/>
    <w:rsid w:val="00D83B1F"/>
    <w:rsid w:val="00D864D9"/>
    <w:rsid w:val="00D86CA8"/>
    <w:rsid w:val="00D87A68"/>
    <w:rsid w:val="00D9032B"/>
    <w:rsid w:val="00D94C9B"/>
    <w:rsid w:val="00D95D63"/>
    <w:rsid w:val="00D960DD"/>
    <w:rsid w:val="00D96D6E"/>
    <w:rsid w:val="00D97F63"/>
    <w:rsid w:val="00DA00DE"/>
    <w:rsid w:val="00DA19B9"/>
    <w:rsid w:val="00DA25A8"/>
    <w:rsid w:val="00DA268F"/>
    <w:rsid w:val="00DA2727"/>
    <w:rsid w:val="00DA4F08"/>
    <w:rsid w:val="00DA5E20"/>
    <w:rsid w:val="00DA6423"/>
    <w:rsid w:val="00DA64DE"/>
    <w:rsid w:val="00DA6874"/>
    <w:rsid w:val="00DA6D03"/>
    <w:rsid w:val="00DB229D"/>
    <w:rsid w:val="00DB2353"/>
    <w:rsid w:val="00DB3D62"/>
    <w:rsid w:val="00DB461C"/>
    <w:rsid w:val="00DB4B02"/>
    <w:rsid w:val="00DB576E"/>
    <w:rsid w:val="00DB72EB"/>
    <w:rsid w:val="00DC024C"/>
    <w:rsid w:val="00DC0A88"/>
    <w:rsid w:val="00DC25B7"/>
    <w:rsid w:val="00DC2C52"/>
    <w:rsid w:val="00DC3A7A"/>
    <w:rsid w:val="00DC64C2"/>
    <w:rsid w:val="00DC68FD"/>
    <w:rsid w:val="00DD18E9"/>
    <w:rsid w:val="00DD1EFB"/>
    <w:rsid w:val="00DD2332"/>
    <w:rsid w:val="00DD406A"/>
    <w:rsid w:val="00DD474C"/>
    <w:rsid w:val="00DD573A"/>
    <w:rsid w:val="00DD5820"/>
    <w:rsid w:val="00DD6858"/>
    <w:rsid w:val="00DE0B17"/>
    <w:rsid w:val="00DE150C"/>
    <w:rsid w:val="00DE2FC9"/>
    <w:rsid w:val="00DE346B"/>
    <w:rsid w:val="00DE35DD"/>
    <w:rsid w:val="00DE3CE3"/>
    <w:rsid w:val="00DE4339"/>
    <w:rsid w:val="00DE43F5"/>
    <w:rsid w:val="00DE4734"/>
    <w:rsid w:val="00DE57E3"/>
    <w:rsid w:val="00DE7848"/>
    <w:rsid w:val="00DE7938"/>
    <w:rsid w:val="00DF10BC"/>
    <w:rsid w:val="00DF23EF"/>
    <w:rsid w:val="00DF2E0D"/>
    <w:rsid w:val="00DF2E2A"/>
    <w:rsid w:val="00DF42BC"/>
    <w:rsid w:val="00DF46FA"/>
    <w:rsid w:val="00DF52A3"/>
    <w:rsid w:val="00DF58C5"/>
    <w:rsid w:val="00E06E14"/>
    <w:rsid w:val="00E101FF"/>
    <w:rsid w:val="00E11681"/>
    <w:rsid w:val="00E11EED"/>
    <w:rsid w:val="00E12430"/>
    <w:rsid w:val="00E12D0F"/>
    <w:rsid w:val="00E13664"/>
    <w:rsid w:val="00E13C2A"/>
    <w:rsid w:val="00E16051"/>
    <w:rsid w:val="00E167E6"/>
    <w:rsid w:val="00E170E2"/>
    <w:rsid w:val="00E17FE1"/>
    <w:rsid w:val="00E201CC"/>
    <w:rsid w:val="00E21618"/>
    <w:rsid w:val="00E22AA6"/>
    <w:rsid w:val="00E2407C"/>
    <w:rsid w:val="00E24230"/>
    <w:rsid w:val="00E246A0"/>
    <w:rsid w:val="00E251C0"/>
    <w:rsid w:val="00E3040C"/>
    <w:rsid w:val="00E31115"/>
    <w:rsid w:val="00E31AD2"/>
    <w:rsid w:val="00E327E1"/>
    <w:rsid w:val="00E32B3D"/>
    <w:rsid w:val="00E33BA4"/>
    <w:rsid w:val="00E34884"/>
    <w:rsid w:val="00E36443"/>
    <w:rsid w:val="00E36F9E"/>
    <w:rsid w:val="00E37F44"/>
    <w:rsid w:val="00E4055D"/>
    <w:rsid w:val="00E406E6"/>
    <w:rsid w:val="00E43526"/>
    <w:rsid w:val="00E43F0C"/>
    <w:rsid w:val="00E50735"/>
    <w:rsid w:val="00E515BE"/>
    <w:rsid w:val="00E529CB"/>
    <w:rsid w:val="00E53182"/>
    <w:rsid w:val="00E535F3"/>
    <w:rsid w:val="00E548A3"/>
    <w:rsid w:val="00E54BCA"/>
    <w:rsid w:val="00E55F02"/>
    <w:rsid w:val="00E56CF0"/>
    <w:rsid w:val="00E57A10"/>
    <w:rsid w:val="00E63974"/>
    <w:rsid w:val="00E63B9B"/>
    <w:rsid w:val="00E64266"/>
    <w:rsid w:val="00E66CD6"/>
    <w:rsid w:val="00E70933"/>
    <w:rsid w:val="00E725F7"/>
    <w:rsid w:val="00E73027"/>
    <w:rsid w:val="00E7417E"/>
    <w:rsid w:val="00E76C85"/>
    <w:rsid w:val="00E76E83"/>
    <w:rsid w:val="00E77EC6"/>
    <w:rsid w:val="00E80234"/>
    <w:rsid w:val="00E8108C"/>
    <w:rsid w:val="00E81C31"/>
    <w:rsid w:val="00E82DFC"/>
    <w:rsid w:val="00E8326B"/>
    <w:rsid w:val="00E84D06"/>
    <w:rsid w:val="00E8546B"/>
    <w:rsid w:val="00E858BB"/>
    <w:rsid w:val="00E85962"/>
    <w:rsid w:val="00E85B7E"/>
    <w:rsid w:val="00E86332"/>
    <w:rsid w:val="00E86521"/>
    <w:rsid w:val="00E87CA3"/>
    <w:rsid w:val="00E90EE9"/>
    <w:rsid w:val="00E9167C"/>
    <w:rsid w:val="00E93BE4"/>
    <w:rsid w:val="00E95D2A"/>
    <w:rsid w:val="00E96ED9"/>
    <w:rsid w:val="00EA2B8C"/>
    <w:rsid w:val="00EA2FA8"/>
    <w:rsid w:val="00EA3B9F"/>
    <w:rsid w:val="00EA4F77"/>
    <w:rsid w:val="00EA59F5"/>
    <w:rsid w:val="00EB297C"/>
    <w:rsid w:val="00EB3578"/>
    <w:rsid w:val="00EB3B00"/>
    <w:rsid w:val="00EB4EAE"/>
    <w:rsid w:val="00EB5BC2"/>
    <w:rsid w:val="00EB6BD2"/>
    <w:rsid w:val="00EC11FD"/>
    <w:rsid w:val="00EC2F22"/>
    <w:rsid w:val="00EC3D46"/>
    <w:rsid w:val="00EC4141"/>
    <w:rsid w:val="00EC4395"/>
    <w:rsid w:val="00EC4C57"/>
    <w:rsid w:val="00EC55B6"/>
    <w:rsid w:val="00EC563A"/>
    <w:rsid w:val="00EC5DE6"/>
    <w:rsid w:val="00EC7245"/>
    <w:rsid w:val="00EC784A"/>
    <w:rsid w:val="00ED0822"/>
    <w:rsid w:val="00ED0B91"/>
    <w:rsid w:val="00ED276A"/>
    <w:rsid w:val="00ED3E0F"/>
    <w:rsid w:val="00ED4308"/>
    <w:rsid w:val="00ED4A15"/>
    <w:rsid w:val="00ED5A72"/>
    <w:rsid w:val="00ED5F8E"/>
    <w:rsid w:val="00ED6B42"/>
    <w:rsid w:val="00ED6E66"/>
    <w:rsid w:val="00ED79F0"/>
    <w:rsid w:val="00ED7A7D"/>
    <w:rsid w:val="00EE0C3D"/>
    <w:rsid w:val="00EE0C4D"/>
    <w:rsid w:val="00EE3EC0"/>
    <w:rsid w:val="00EE55B2"/>
    <w:rsid w:val="00EE5D7B"/>
    <w:rsid w:val="00EE605E"/>
    <w:rsid w:val="00EF1647"/>
    <w:rsid w:val="00EF27ED"/>
    <w:rsid w:val="00EF2DD8"/>
    <w:rsid w:val="00EF3C74"/>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17F56"/>
    <w:rsid w:val="00F214D7"/>
    <w:rsid w:val="00F241F6"/>
    <w:rsid w:val="00F242F6"/>
    <w:rsid w:val="00F24B2C"/>
    <w:rsid w:val="00F24D01"/>
    <w:rsid w:val="00F264FC"/>
    <w:rsid w:val="00F268D6"/>
    <w:rsid w:val="00F30FA2"/>
    <w:rsid w:val="00F36E46"/>
    <w:rsid w:val="00F40750"/>
    <w:rsid w:val="00F41982"/>
    <w:rsid w:val="00F441FD"/>
    <w:rsid w:val="00F4512D"/>
    <w:rsid w:val="00F45500"/>
    <w:rsid w:val="00F45A18"/>
    <w:rsid w:val="00F50C29"/>
    <w:rsid w:val="00F516B3"/>
    <w:rsid w:val="00F51DBF"/>
    <w:rsid w:val="00F51F23"/>
    <w:rsid w:val="00F525ED"/>
    <w:rsid w:val="00F53523"/>
    <w:rsid w:val="00F54C59"/>
    <w:rsid w:val="00F56954"/>
    <w:rsid w:val="00F56E4A"/>
    <w:rsid w:val="00F60AFC"/>
    <w:rsid w:val="00F612F7"/>
    <w:rsid w:val="00F72A14"/>
    <w:rsid w:val="00F7316E"/>
    <w:rsid w:val="00F75EAD"/>
    <w:rsid w:val="00F7681E"/>
    <w:rsid w:val="00F76C26"/>
    <w:rsid w:val="00F80431"/>
    <w:rsid w:val="00F82601"/>
    <w:rsid w:val="00F8266D"/>
    <w:rsid w:val="00F848DD"/>
    <w:rsid w:val="00F86CE6"/>
    <w:rsid w:val="00F87DF7"/>
    <w:rsid w:val="00F911CE"/>
    <w:rsid w:val="00F930B1"/>
    <w:rsid w:val="00F9626E"/>
    <w:rsid w:val="00F97FC1"/>
    <w:rsid w:val="00FA4933"/>
    <w:rsid w:val="00FA789B"/>
    <w:rsid w:val="00FB0B42"/>
    <w:rsid w:val="00FB277E"/>
    <w:rsid w:val="00FB287D"/>
    <w:rsid w:val="00FB2DA0"/>
    <w:rsid w:val="00FB427A"/>
    <w:rsid w:val="00FB4B18"/>
    <w:rsid w:val="00FB5F2E"/>
    <w:rsid w:val="00FB68EB"/>
    <w:rsid w:val="00FB73E8"/>
    <w:rsid w:val="00FC112A"/>
    <w:rsid w:val="00FC3FD5"/>
    <w:rsid w:val="00FC4693"/>
    <w:rsid w:val="00FC67D7"/>
    <w:rsid w:val="00FC6DE7"/>
    <w:rsid w:val="00FD0606"/>
    <w:rsid w:val="00FD07B4"/>
    <w:rsid w:val="00FD6B2D"/>
    <w:rsid w:val="00FD7AE5"/>
    <w:rsid w:val="00FE002F"/>
    <w:rsid w:val="00FE0316"/>
    <w:rsid w:val="00FE1400"/>
    <w:rsid w:val="00FE4FD2"/>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13E"/>
    <w:pPr>
      <w:spacing w:line="256" w:lineRule="auto"/>
    </w:pPr>
    <w:rPr>
      <w:rFonts w:eastAsiaTheme="minorEastAsia"/>
      <w:lang w:eastAsia="zh-CN"/>
    </w:rPr>
  </w:style>
  <w:style w:type="paragraph" w:styleId="Heading1">
    <w:name w:val="heading 1"/>
    <w:basedOn w:val="Normal"/>
    <w:next w:val="Normal"/>
    <w:link w:val="Heading1Char"/>
    <w:uiPriority w:val="9"/>
    <w:qFormat/>
    <w:rsid w:val="00D77B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4F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uiPriority w:val="9"/>
    <w:semiHidden/>
    <w:rsid w:val="00594FDB"/>
    <w:rPr>
      <w:rFonts w:asciiTheme="majorHAnsi" w:eastAsiaTheme="majorEastAsia" w:hAnsiTheme="majorHAnsi" w:cstheme="majorBidi"/>
      <w:color w:val="2E74B5" w:themeColor="accent1" w:themeShade="BF"/>
      <w:sz w:val="26"/>
      <w:szCs w:val="26"/>
      <w:lang w:eastAsia="zh-CN"/>
    </w:rPr>
  </w:style>
  <w:style w:type="paragraph" w:styleId="Header">
    <w:name w:val="header"/>
    <w:basedOn w:val="Normal"/>
    <w:link w:val="HeaderChar"/>
    <w:uiPriority w:val="99"/>
    <w:unhideWhenUsed/>
    <w:rsid w:val="0091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rsid w:val="0091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1EB"/>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16854507">
      <w:bodyDiv w:val="1"/>
      <w:marLeft w:val="0"/>
      <w:marRight w:val="0"/>
      <w:marTop w:val="0"/>
      <w:marBottom w:val="0"/>
      <w:divBdr>
        <w:top w:val="none" w:sz="0" w:space="0" w:color="auto"/>
        <w:left w:val="none" w:sz="0" w:space="0" w:color="auto"/>
        <w:bottom w:val="none" w:sz="0" w:space="0" w:color="auto"/>
        <w:right w:val="none" w:sz="0" w:space="0" w:color="auto"/>
      </w:divBdr>
    </w:div>
    <w:div w:id="20860175">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2825353">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4522080">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8536681">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1619187">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5395883">
      <w:bodyDiv w:val="1"/>
      <w:marLeft w:val="0"/>
      <w:marRight w:val="0"/>
      <w:marTop w:val="0"/>
      <w:marBottom w:val="0"/>
      <w:divBdr>
        <w:top w:val="none" w:sz="0" w:space="0" w:color="auto"/>
        <w:left w:val="none" w:sz="0" w:space="0" w:color="auto"/>
        <w:bottom w:val="none" w:sz="0" w:space="0" w:color="auto"/>
        <w:right w:val="none" w:sz="0" w:space="0" w:color="auto"/>
      </w:divBdr>
    </w:div>
    <w:div w:id="37553825">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1442770">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3220873">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5181483">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54203524">
      <w:bodyDiv w:val="1"/>
      <w:marLeft w:val="0"/>
      <w:marRight w:val="0"/>
      <w:marTop w:val="0"/>
      <w:marBottom w:val="0"/>
      <w:divBdr>
        <w:top w:val="none" w:sz="0" w:space="0" w:color="auto"/>
        <w:left w:val="none" w:sz="0" w:space="0" w:color="auto"/>
        <w:bottom w:val="none" w:sz="0" w:space="0" w:color="auto"/>
        <w:right w:val="none" w:sz="0" w:space="0" w:color="auto"/>
      </w:divBdr>
    </w:div>
    <w:div w:id="57942530">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2874694">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1853206">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222710">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99573636">
      <w:bodyDiv w:val="1"/>
      <w:marLeft w:val="0"/>
      <w:marRight w:val="0"/>
      <w:marTop w:val="0"/>
      <w:marBottom w:val="0"/>
      <w:divBdr>
        <w:top w:val="none" w:sz="0" w:space="0" w:color="auto"/>
        <w:left w:val="none" w:sz="0" w:space="0" w:color="auto"/>
        <w:bottom w:val="none" w:sz="0" w:space="0" w:color="auto"/>
        <w:right w:val="none" w:sz="0" w:space="0" w:color="auto"/>
      </w:divBdr>
    </w:div>
    <w:div w:id="99960295">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1194222">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03816159">
      <w:bodyDiv w:val="1"/>
      <w:marLeft w:val="0"/>
      <w:marRight w:val="0"/>
      <w:marTop w:val="0"/>
      <w:marBottom w:val="0"/>
      <w:divBdr>
        <w:top w:val="none" w:sz="0" w:space="0" w:color="auto"/>
        <w:left w:val="none" w:sz="0" w:space="0" w:color="auto"/>
        <w:bottom w:val="none" w:sz="0" w:space="0" w:color="auto"/>
        <w:right w:val="none" w:sz="0" w:space="0" w:color="auto"/>
      </w:divBdr>
    </w:div>
    <w:div w:id="106703204">
      <w:bodyDiv w:val="1"/>
      <w:marLeft w:val="0"/>
      <w:marRight w:val="0"/>
      <w:marTop w:val="0"/>
      <w:marBottom w:val="0"/>
      <w:divBdr>
        <w:top w:val="none" w:sz="0" w:space="0" w:color="auto"/>
        <w:left w:val="none" w:sz="0" w:space="0" w:color="auto"/>
        <w:bottom w:val="none" w:sz="0" w:space="0" w:color="auto"/>
        <w:right w:val="none" w:sz="0" w:space="0" w:color="auto"/>
      </w:divBdr>
    </w:div>
    <w:div w:id="10978587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091380">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18840699">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2793801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48181692">
      <w:bodyDiv w:val="1"/>
      <w:marLeft w:val="0"/>
      <w:marRight w:val="0"/>
      <w:marTop w:val="0"/>
      <w:marBottom w:val="0"/>
      <w:divBdr>
        <w:top w:val="none" w:sz="0" w:space="0" w:color="auto"/>
        <w:left w:val="none" w:sz="0" w:space="0" w:color="auto"/>
        <w:bottom w:val="none" w:sz="0" w:space="0" w:color="auto"/>
        <w:right w:val="none" w:sz="0" w:space="0" w:color="auto"/>
      </w:divBdr>
    </w:div>
    <w:div w:id="149253496">
      <w:bodyDiv w:val="1"/>
      <w:marLeft w:val="0"/>
      <w:marRight w:val="0"/>
      <w:marTop w:val="0"/>
      <w:marBottom w:val="0"/>
      <w:divBdr>
        <w:top w:val="none" w:sz="0" w:space="0" w:color="auto"/>
        <w:left w:val="none" w:sz="0" w:space="0" w:color="auto"/>
        <w:bottom w:val="none" w:sz="0" w:space="0" w:color="auto"/>
        <w:right w:val="none" w:sz="0" w:space="0" w:color="auto"/>
      </w:divBdr>
    </w:div>
    <w:div w:id="151680694">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0900876">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1533716">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6387634">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87642896">
      <w:bodyDiv w:val="1"/>
      <w:marLeft w:val="0"/>
      <w:marRight w:val="0"/>
      <w:marTop w:val="0"/>
      <w:marBottom w:val="0"/>
      <w:divBdr>
        <w:top w:val="none" w:sz="0" w:space="0" w:color="auto"/>
        <w:left w:val="none" w:sz="0" w:space="0" w:color="auto"/>
        <w:bottom w:val="none" w:sz="0" w:space="0" w:color="auto"/>
        <w:right w:val="none" w:sz="0" w:space="0" w:color="auto"/>
      </w:divBdr>
    </w:div>
    <w:div w:id="187715928">
      <w:bodyDiv w:val="1"/>
      <w:marLeft w:val="0"/>
      <w:marRight w:val="0"/>
      <w:marTop w:val="0"/>
      <w:marBottom w:val="0"/>
      <w:divBdr>
        <w:top w:val="none" w:sz="0" w:space="0" w:color="auto"/>
        <w:left w:val="none" w:sz="0" w:space="0" w:color="auto"/>
        <w:bottom w:val="none" w:sz="0" w:space="0" w:color="auto"/>
        <w:right w:val="none" w:sz="0" w:space="0" w:color="auto"/>
      </w:divBdr>
    </w:div>
    <w:div w:id="187719242">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8666876">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09154062">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5896699">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69472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6978550">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48927637">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1740742">
      <w:bodyDiv w:val="1"/>
      <w:marLeft w:val="0"/>
      <w:marRight w:val="0"/>
      <w:marTop w:val="0"/>
      <w:marBottom w:val="0"/>
      <w:divBdr>
        <w:top w:val="none" w:sz="0" w:space="0" w:color="auto"/>
        <w:left w:val="none" w:sz="0" w:space="0" w:color="auto"/>
        <w:bottom w:val="none" w:sz="0" w:space="0" w:color="auto"/>
        <w:right w:val="none" w:sz="0" w:space="0" w:color="auto"/>
      </w:divBdr>
    </w:div>
    <w:div w:id="252320922">
      <w:bodyDiv w:val="1"/>
      <w:marLeft w:val="0"/>
      <w:marRight w:val="0"/>
      <w:marTop w:val="0"/>
      <w:marBottom w:val="0"/>
      <w:divBdr>
        <w:top w:val="none" w:sz="0" w:space="0" w:color="auto"/>
        <w:left w:val="none" w:sz="0" w:space="0" w:color="auto"/>
        <w:bottom w:val="none" w:sz="0" w:space="0" w:color="auto"/>
        <w:right w:val="none" w:sz="0" w:space="0" w:color="auto"/>
      </w:divBdr>
    </w:div>
    <w:div w:id="252863388">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5136893">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6423063">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0940554">
      <w:bodyDiv w:val="1"/>
      <w:marLeft w:val="0"/>
      <w:marRight w:val="0"/>
      <w:marTop w:val="0"/>
      <w:marBottom w:val="0"/>
      <w:divBdr>
        <w:top w:val="none" w:sz="0" w:space="0" w:color="auto"/>
        <w:left w:val="none" w:sz="0" w:space="0" w:color="auto"/>
        <w:bottom w:val="none" w:sz="0" w:space="0" w:color="auto"/>
        <w:right w:val="none" w:sz="0" w:space="0" w:color="auto"/>
      </w:divBdr>
    </w:div>
    <w:div w:id="27737308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015293">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03049012">
      <w:bodyDiv w:val="1"/>
      <w:marLeft w:val="0"/>
      <w:marRight w:val="0"/>
      <w:marTop w:val="0"/>
      <w:marBottom w:val="0"/>
      <w:divBdr>
        <w:top w:val="none" w:sz="0" w:space="0" w:color="auto"/>
        <w:left w:val="none" w:sz="0" w:space="0" w:color="auto"/>
        <w:bottom w:val="none" w:sz="0" w:space="0" w:color="auto"/>
        <w:right w:val="none" w:sz="0" w:space="0" w:color="auto"/>
      </w:divBdr>
    </w:div>
    <w:div w:id="308677741">
      <w:bodyDiv w:val="1"/>
      <w:marLeft w:val="0"/>
      <w:marRight w:val="0"/>
      <w:marTop w:val="0"/>
      <w:marBottom w:val="0"/>
      <w:divBdr>
        <w:top w:val="none" w:sz="0" w:space="0" w:color="auto"/>
        <w:left w:val="none" w:sz="0" w:space="0" w:color="auto"/>
        <w:bottom w:val="none" w:sz="0" w:space="0" w:color="auto"/>
        <w:right w:val="none" w:sz="0" w:space="0" w:color="auto"/>
      </w:divBdr>
    </w:div>
    <w:div w:id="314720459">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4482923">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7756998">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41471079">
      <w:bodyDiv w:val="1"/>
      <w:marLeft w:val="0"/>
      <w:marRight w:val="0"/>
      <w:marTop w:val="0"/>
      <w:marBottom w:val="0"/>
      <w:divBdr>
        <w:top w:val="none" w:sz="0" w:space="0" w:color="auto"/>
        <w:left w:val="none" w:sz="0" w:space="0" w:color="auto"/>
        <w:bottom w:val="none" w:sz="0" w:space="0" w:color="auto"/>
        <w:right w:val="none" w:sz="0" w:space="0" w:color="auto"/>
      </w:divBdr>
    </w:div>
    <w:div w:id="344282357">
      <w:bodyDiv w:val="1"/>
      <w:marLeft w:val="0"/>
      <w:marRight w:val="0"/>
      <w:marTop w:val="0"/>
      <w:marBottom w:val="0"/>
      <w:divBdr>
        <w:top w:val="none" w:sz="0" w:space="0" w:color="auto"/>
        <w:left w:val="none" w:sz="0" w:space="0" w:color="auto"/>
        <w:bottom w:val="none" w:sz="0" w:space="0" w:color="auto"/>
        <w:right w:val="none" w:sz="0" w:space="0" w:color="auto"/>
      </w:divBdr>
    </w:div>
    <w:div w:id="349183634">
      <w:bodyDiv w:val="1"/>
      <w:marLeft w:val="0"/>
      <w:marRight w:val="0"/>
      <w:marTop w:val="0"/>
      <w:marBottom w:val="0"/>
      <w:divBdr>
        <w:top w:val="none" w:sz="0" w:space="0" w:color="auto"/>
        <w:left w:val="none" w:sz="0" w:space="0" w:color="auto"/>
        <w:bottom w:val="none" w:sz="0" w:space="0" w:color="auto"/>
        <w:right w:val="none" w:sz="0" w:space="0" w:color="auto"/>
      </w:divBdr>
    </w:div>
    <w:div w:id="350180821">
      <w:bodyDiv w:val="1"/>
      <w:marLeft w:val="0"/>
      <w:marRight w:val="0"/>
      <w:marTop w:val="0"/>
      <w:marBottom w:val="0"/>
      <w:divBdr>
        <w:top w:val="none" w:sz="0" w:space="0" w:color="auto"/>
        <w:left w:val="none" w:sz="0" w:space="0" w:color="auto"/>
        <w:bottom w:val="none" w:sz="0" w:space="0" w:color="auto"/>
        <w:right w:val="none" w:sz="0" w:space="0" w:color="auto"/>
      </w:divBdr>
    </w:div>
    <w:div w:id="353117271">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58702630">
      <w:bodyDiv w:val="1"/>
      <w:marLeft w:val="0"/>
      <w:marRight w:val="0"/>
      <w:marTop w:val="0"/>
      <w:marBottom w:val="0"/>
      <w:divBdr>
        <w:top w:val="none" w:sz="0" w:space="0" w:color="auto"/>
        <w:left w:val="none" w:sz="0" w:space="0" w:color="auto"/>
        <w:bottom w:val="none" w:sz="0" w:space="0" w:color="auto"/>
        <w:right w:val="none" w:sz="0" w:space="0" w:color="auto"/>
      </w:divBdr>
    </w:div>
    <w:div w:id="360596456">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2100172">
      <w:bodyDiv w:val="1"/>
      <w:marLeft w:val="0"/>
      <w:marRight w:val="0"/>
      <w:marTop w:val="0"/>
      <w:marBottom w:val="0"/>
      <w:divBdr>
        <w:top w:val="none" w:sz="0" w:space="0" w:color="auto"/>
        <w:left w:val="none" w:sz="0" w:space="0" w:color="auto"/>
        <w:bottom w:val="none" w:sz="0" w:space="0" w:color="auto"/>
        <w:right w:val="none" w:sz="0" w:space="0" w:color="auto"/>
      </w:divBdr>
    </w:div>
    <w:div w:id="362436248">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66762820">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3425714">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5084820">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1832206">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396127549">
      <w:bodyDiv w:val="1"/>
      <w:marLeft w:val="0"/>
      <w:marRight w:val="0"/>
      <w:marTop w:val="0"/>
      <w:marBottom w:val="0"/>
      <w:divBdr>
        <w:top w:val="none" w:sz="0" w:space="0" w:color="auto"/>
        <w:left w:val="none" w:sz="0" w:space="0" w:color="auto"/>
        <w:bottom w:val="none" w:sz="0" w:space="0" w:color="auto"/>
        <w:right w:val="none" w:sz="0" w:space="0" w:color="auto"/>
      </w:divBdr>
      <w:divsChild>
        <w:div w:id="287050999">
          <w:marLeft w:val="0"/>
          <w:marRight w:val="0"/>
          <w:marTop w:val="0"/>
          <w:marBottom w:val="0"/>
          <w:divBdr>
            <w:top w:val="none" w:sz="0" w:space="0" w:color="auto"/>
            <w:left w:val="none" w:sz="0" w:space="0" w:color="auto"/>
            <w:bottom w:val="none" w:sz="0" w:space="0" w:color="auto"/>
            <w:right w:val="none" w:sz="0" w:space="0" w:color="auto"/>
          </w:divBdr>
          <w:divsChild>
            <w:div w:id="799764048">
              <w:marLeft w:val="0"/>
              <w:marRight w:val="0"/>
              <w:marTop w:val="0"/>
              <w:marBottom w:val="0"/>
              <w:divBdr>
                <w:top w:val="none" w:sz="0" w:space="0" w:color="auto"/>
                <w:left w:val="none" w:sz="0" w:space="0" w:color="auto"/>
                <w:bottom w:val="none" w:sz="0" w:space="0" w:color="auto"/>
                <w:right w:val="none" w:sz="0" w:space="0" w:color="auto"/>
              </w:divBdr>
              <w:divsChild>
                <w:div w:id="1335912126">
                  <w:marLeft w:val="0"/>
                  <w:marRight w:val="0"/>
                  <w:marTop w:val="0"/>
                  <w:marBottom w:val="0"/>
                  <w:divBdr>
                    <w:top w:val="none" w:sz="0" w:space="0" w:color="auto"/>
                    <w:left w:val="none" w:sz="0" w:space="0" w:color="auto"/>
                    <w:bottom w:val="none" w:sz="0" w:space="0" w:color="auto"/>
                    <w:right w:val="none" w:sz="0" w:space="0" w:color="auto"/>
                  </w:divBdr>
                  <w:divsChild>
                    <w:div w:id="877088358">
                      <w:marLeft w:val="0"/>
                      <w:marRight w:val="0"/>
                      <w:marTop w:val="0"/>
                      <w:marBottom w:val="0"/>
                      <w:divBdr>
                        <w:top w:val="none" w:sz="0" w:space="0" w:color="auto"/>
                        <w:left w:val="none" w:sz="0" w:space="0" w:color="auto"/>
                        <w:bottom w:val="none" w:sz="0" w:space="0" w:color="auto"/>
                        <w:right w:val="none" w:sz="0" w:space="0" w:color="auto"/>
                      </w:divBdr>
                      <w:divsChild>
                        <w:div w:id="1731034893">
                          <w:marLeft w:val="0"/>
                          <w:marRight w:val="0"/>
                          <w:marTop w:val="100"/>
                          <w:marBottom w:val="100"/>
                          <w:divBdr>
                            <w:top w:val="none" w:sz="0" w:space="0" w:color="auto"/>
                            <w:left w:val="none" w:sz="0" w:space="0" w:color="auto"/>
                            <w:bottom w:val="none" w:sz="0" w:space="0" w:color="auto"/>
                            <w:right w:val="none" w:sz="0" w:space="0" w:color="auto"/>
                          </w:divBdr>
                          <w:divsChild>
                            <w:div w:id="1430157129">
                              <w:marLeft w:val="0"/>
                              <w:marRight w:val="0"/>
                              <w:marTop w:val="0"/>
                              <w:marBottom w:val="0"/>
                              <w:divBdr>
                                <w:top w:val="none" w:sz="0" w:space="0" w:color="000000"/>
                                <w:left w:val="none" w:sz="0" w:space="0" w:color="000000"/>
                                <w:bottom w:val="none" w:sz="0" w:space="0" w:color="000000"/>
                                <w:right w:val="none" w:sz="0" w:space="0" w:color="000000"/>
                              </w:divBdr>
                              <w:divsChild>
                                <w:div w:id="1888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10680">
      <w:bodyDiv w:val="1"/>
      <w:marLeft w:val="0"/>
      <w:marRight w:val="0"/>
      <w:marTop w:val="0"/>
      <w:marBottom w:val="0"/>
      <w:divBdr>
        <w:top w:val="none" w:sz="0" w:space="0" w:color="auto"/>
        <w:left w:val="none" w:sz="0" w:space="0" w:color="auto"/>
        <w:bottom w:val="none" w:sz="0" w:space="0" w:color="auto"/>
        <w:right w:val="none" w:sz="0" w:space="0" w:color="auto"/>
      </w:divBdr>
    </w:div>
    <w:div w:id="399013562">
      <w:bodyDiv w:val="1"/>
      <w:marLeft w:val="0"/>
      <w:marRight w:val="0"/>
      <w:marTop w:val="0"/>
      <w:marBottom w:val="0"/>
      <w:divBdr>
        <w:top w:val="none" w:sz="0" w:space="0" w:color="auto"/>
        <w:left w:val="none" w:sz="0" w:space="0" w:color="auto"/>
        <w:bottom w:val="none" w:sz="0" w:space="0" w:color="auto"/>
        <w:right w:val="none" w:sz="0" w:space="0" w:color="auto"/>
      </w:divBdr>
    </w:div>
    <w:div w:id="400182507">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8187">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5441680">
      <w:bodyDiv w:val="1"/>
      <w:marLeft w:val="0"/>
      <w:marRight w:val="0"/>
      <w:marTop w:val="0"/>
      <w:marBottom w:val="0"/>
      <w:divBdr>
        <w:top w:val="none" w:sz="0" w:space="0" w:color="auto"/>
        <w:left w:val="none" w:sz="0" w:space="0" w:color="auto"/>
        <w:bottom w:val="none" w:sz="0" w:space="0" w:color="auto"/>
        <w:right w:val="none" w:sz="0" w:space="0" w:color="auto"/>
      </w:divBdr>
    </w:div>
    <w:div w:id="418407927">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37976">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386606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3404214">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7210931">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5223227">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78037759">
      <w:bodyDiv w:val="1"/>
      <w:marLeft w:val="0"/>
      <w:marRight w:val="0"/>
      <w:marTop w:val="0"/>
      <w:marBottom w:val="0"/>
      <w:divBdr>
        <w:top w:val="none" w:sz="0" w:space="0" w:color="auto"/>
        <w:left w:val="none" w:sz="0" w:space="0" w:color="auto"/>
        <w:bottom w:val="none" w:sz="0" w:space="0" w:color="auto"/>
        <w:right w:val="none" w:sz="0" w:space="0" w:color="auto"/>
      </w:divBdr>
    </w:div>
    <w:div w:id="480924580">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4514835">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304926">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09756694">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8927580">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5796009">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29685079">
      <w:bodyDiv w:val="1"/>
      <w:marLeft w:val="0"/>
      <w:marRight w:val="0"/>
      <w:marTop w:val="0"/>
      <w:marBottom w:val="0"/>
      <w:divBdr>
        <w:top w:val="none" w:sz="0" w:space="0" w:color="auto"/>
        <w:left w:val="none" w:sz="0" w:space="0" w:color="auto"/>
        <w:bottom w:val="none" w:sz="0" w:space="0" w:color="auto"/>
        <w:right w:val="none" w:sz="0" w:space="0" w:color="auto"/>
      </w:divBdr>
    </w:div>
    <w:div w:id="530191391">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1504663">
      <w:bodyDiv w:val="1"/>
      <w:marLeft w:val="0"/>
      <w:marRight w:val="0"/>
      <w:marTop w:val="0"/>
      <w:marBottom w:val="0"/>
      <w:divBdr>
        <w:top w:val="none" w:sz="0" w:space="0" w:color="auto"/>
        <w:left w:val="none" w:sz="0" w:space="0" w:color="auto"/>
        <w:bottom w:val="none" w:sz="0" w:space="0" w:color="auto"/>
        <w:right w:val="none" w:sz="0" w:space="0" w:color="auto"/>
      </w:divBdr>
    </w:div>
    <w:div w:id="531576470">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5192525">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88975199">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6085391">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1548377">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384163">
      <w:bodyDiv w:val="1"/>
      <w:marLeft w:val="0"/>
      <w:marRight w:val="0"/>
      <w:marTop w:val="0"/>
      <w:marBottom w:val="0"/>
      <w:divBdr>
        <w:top w:val="none" w:sz="0" w:space="0" w:color="auto"/>
        <w:left w:val="none" w:sz="0" w:space="0" w:color="auto"/>
        <w:bottom w:val="none" w:sz="0" w:space="0" w:color="auto"/>
        <w:right w:val="none" w:sz="0" w:space="0" w:color="auto"/>
      </w:divBdr>
    </w:div>
    <w:div w:id="620502393">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2557847">
      <w:bodyDiv w:val="1"/>
      <w:marLeft w:val="0"/>
      <w:marRight w:val="0"/>
      <w:marTop w:val="0"/>
      <w:marBottom w:val="0"/>
      <w:divBdr>
        <w:top w:val="none" w:sz="0" w:space="0" w:color="auto"/>
        <w:left w:val="none" w:sz="0" w:space="0" w:color="auto"/>
        <w:bottom w:val="none" w:sz="0" w:space="0" w:color="auto"/>
        <w:right w:val="none" w:sz="0" w:space="0" w:color="auto"/>
      </w:divBdr>
    </w:div>
    <w:div w:id="633486278">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127524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6130478">
      <w:bodyDiv w:val="1"/>
      <w:marLeft w:val="0"/>
      <w:marRight w:val="0"/>
      <w:marTop w:val="0"/>
      <w:marBottom w:val="0"/>
      <w:divBdr>
        <w:top w:val="none" w:sz="0" w:space="0" w:color="auto"/>
        <w:left w:val="none" w:sz="0" w:space="0" w:color="auto"/>
        <w:bottom w:val="none" w:sz="0" w:space="0" w:color="auto"/>
        <w:right w:val="none" w:sz="0" w:space="0" w:color="auto"/>
      </w:divBdr>
    </w:div>
    <w:div w:id="668022339">
      <w:bodyDiv w:val="1"/>
      <w:marLeft w:val="0"/>
      <w:marRight w:val="0"/>
      <w:marTop w:val="0"/>
      <w:marBottom w:val="0"/>
      <w:divBdr>
        <w:top w:val="none" w:sz="0" w:space="0" w:color="auto"/>
        <w:left w:val="none" w:sz="0" w:space="0" w:color="auto"/>
        <w:bottom w:val="none" w:sz="0" w:space="0" w:color="auto"/>
        <w:right w:val="none" w:sz="0" w:space="0" w:color="auto"/>
      </w:divBdr>
    </w:div>
    <w:div w:id="668219253">
      <w:bodyDiv w:val="1"/>
      <w:marLeft w:val="0"/>
      <w:marRight w:val="0"/>
      <w:marTop w:val="0"/>
      <w:marBottom w:val="0"/>
      <w:divBdr>
        <w:top w:val="none" w:sz="0" w:space="0" w:color="auto"/>
        <w:left w:val="none" w:sz="0" w:space="0" w:color="auto"/>
        <w:bottom w:val="none" w:sz="0" w:space="0" w:color="auto"/>
        <w:right w:val="none" w:sz="0" w:space="0" w:color="auto"/>
      </w:divBdr>
    </w:div>
    <w:div w:id="668336720">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87490648">
      <w:bodyDiv w:val="1"/>
      <w:marLeft w:val="0"/>
      <w:marRight w:val="0"/>
      <w:marTop w:val="0"/>
      <w:marBottom w:val="0"/>
      <w:divBdr>
        <w:top w:val="none" w:sz="0" w:space="0" w:color="auto"/>
        <w:left w:val="none" w:sz="0" w:space="0" w:color="auto"/>
        <w:bottom w:val="none" w:sz="0" w:space="0" w:color="auto"/>
        <w:right w:val="none" w:sz="0" w:space="0" w:color="auto"/>
      </w:divBdr>
    </w:div>
    <w:div w:id="687872174">
      <w:bodyDiv w:val="1"/>
      <w:marLeft w:val="0"/>
      <w:marRight w:val="0"/>
      <w:marTop w:val="0"/>
      <w:marBottom w:val="0"/>
      <w:divBdr>
        <w:top w:val="none" w:sz="0" w:space="0" w:color="auto"/>
        <w:left w:val="none" w:sz="0" w:space="0" w:color="auto"/>
        <w:bottom w:val="none" w:sz="0" w:space="0" w:color="auto"/>
        <w:right w:val="none" w:sz="0" w:space="0" w:color="auto"/>
      </w:divBdr>
    </w:div>
    <w:div w:id="69134590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78134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1056721">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6128245">
      <w:bodyDiv w:val="1"/>
      <w:marLeft w:val="0"/>
      <w:marRight w:val="0"/>
      <w:marTop w:val="0"/>
      <w:marBottom w:val="0"/>
      <w:divBdr>
        <w:top w:val="none" w:sz="0" w:space="0" w:color="auto"/>
        <w:left w:val="none" w:sz="0" w:space="0" w:color="auto"/>
        <w:bottom w:val="none" w:sz="0" w:space="0" w:color="auto"/>
        <w:right w:val="none" w:sz="0" w:space="0" w:color="auto"/>
      </w:divBdr>
    </w:div>
    <w:div w:id="737091385">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59761391">
      <w:bodyDiv w:val="1"/>
      <w:marLeft w:val="0"/>
      <w:marRight w:val="0"/>
      <w:marTop w:val="0"/>
      <w:marBottom w:val="0"/>
      <w:divBdr>
        <w:top w:val="none" w:sz="0" w:space="0" w:color="auto"/>
        <w:left w:val="none" w:sz="0" w:space="0" w:color="auto"/>
        <w:bottom w:val="none" w:sz="0" w:space="0" w:color="auto"/>
        <w:right w:val="none" w:sz="0" w:space="0" w:color="auto"/>
      </w:divBdr>
    </w:div>
    <w:div w:id="762579419">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7391298">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8373829">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46133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88209826">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1244307">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5242949">
      <w:bodyDiv w:val="1"/>
      <w:marLeft w:val="0"/>
      <w:marRight w:val="0"/>
      <w:marTop w:val="0"/>
      <w:marBottom w:val="0"/>
      <w:divBdr>
        <w:top w:val="none" w:sz="0" w:space="0" w:color="auto"/>
        <w:left w:val="none" w:sz="0" w:space="0" w:color="auto"/>
        <w:bottom w:val="none" w:sz="0" w:space="0" w:color="auto"/>
        <w:right w:val="none" w:sz="0" w:space="0" w:color="auto"/>
      </w:divBdr>
    </w:div>
    <w:div w:id="805321914">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7862961">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08286644">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3526019">
      <w:bodyDiv w:val="1"/>
      <w:marLeft w:val="0"/>
      <w:marRight w:val="0"/>
      <w:marTop w:val="0"/>
      <w:marBottom w:val="0"/>
      <w:divBdr>
        <w:top w:val="none" w:sz="0" w:space="0" w:color="auto"/>
        <w:left w:val="none" w:sz="0" w:space="0" w:color="auto"/>
        <w:bottom w:val="none" w:sz="0" w:space="0" w:color="auto"/>
        <w:right w:val="none" w:sz="0" w:space="0" w:color="auto"/>
      </w:divBdr>
    </w:div>
    <w:div w:id="814184506">
      <w:bodyDiv w:val="1"/>
      <w:marLeft w:val="0"/>
      <w:marRight w:val="0"/>
      <w:marTop w:val="0"/>
      <w:marBottom w:val="0"/>
      <w:divBdr>
        <w:top w:val="none" w:sz="0" w:space="0" w:color="auto"/>
        <w:left w:val="none" w:sz="0" w:space="0" w:color="auto"/>
        <w:bottom w:val="none" w:sz="0" w:space="0" w:color="auto"/>
        <w:right w:val="none" w:sz="0" w:space="0" w:color="auto"/>
      </w:divBdr>
    </w:div>
    <w:div w:id="814377916">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4856341">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5783639">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5250049">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2690500">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5729288">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3560729">
      <w:bodyDiv w:val="1"/>
      <w:marLeft w:val="0"/>
      <w:marRight w:val="0"/>
      <w:marTop w:val="0"/>
      <w:marBottom w:val="0"/>
      <w:divBdr>
        <w:top w:val="none" w:sz="0" w:space="0" w:color="auto"/>
        <w:left w:val="none" w:sz="0" w:space="0" w:color="auto"/>
        <w:bottom w:val="none" w:sz="0" w:space="0" w:color="auto"/>
        <w:right w:val="none" w:sz="0" w:space="0" w:color="auto"/>
      </w:divBdr>
    </w:div>
    <w:div w:id="88483351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1429791">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3393435">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5167477">
      <w:bodyDiv w:val="1"/>
      <w:marLeft w:val="0"/>
      <w:marRight w:val="0"/>
      <w:marTop w:val="0"/>
      <w:marBottom w:val="0"/>
      <w:divBdr>
        <w:top w:val="none" w:sz="0" w:space="0" w:color="auto"/>
        <w:left w:val="none" w:sz="0" w:space="0" w:color="auto"/>
        <w:bottom w:val="none" w:sz="0" w:space="0" w:color="auto"/>
        <w:right w:val="none" w:sz="0" w:space="0" w:color="auto"/>
      </w:divBdr>
    </w:div>
    <w:div w:id="895821743">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0215526">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09735694">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3852463">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6964605">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000158">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44843446">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58531430">
      <w:bodyDiv w:val="1"/>
      <w:marLeft w:val="0"/>
      <w:marRight w:val="0"/>
      <w:marTop w:val="0"/>
      <w:marBottom w:val="0"/>
      <w:divBdr>
        <w:top w:val="none" w:sz="0" w:space="0" w:color="auto"/>
        <w:left w:val="none" w:sz="0" w:space="0" w:color="auto"/>
        <w:bottom w:val="none" w:sz="0" w:space="0" w:color="auto"/>
        <w:right w:val="none" w:sz="0" w:space="0" w:color="auto"/>
      </w:divBdr>
    </w:div>
    <w:div w:id="964773075">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69703185">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4333338">
      <w:bodyDiv w:val="1"/>
      <w:marLeft w:val="0"/>
      <w:marRight w:val="0"/>
      <w:marTop w:val="0"/>
      <w:marBottom w:val="0"/>
      <w:divBdr>
        <w:top w:val="none" w:sz="0" w:space="0" w:color="auto"/>
        <w:left w:val="none" w:sz="0" w:space="0" w:color="auto"/>
        <w:bottom w:val="none" w:sz="0" w:space="0" w:color="auto"/>
        <w:right w:val="none" w:sz="0" w:space="0" w:color="auto"/>
      </w:divBdr>
    </w:div>
    <w:div w:id="974868660">
      <w:bodyDiv w:val="1"/>
      <w:marLeft w:val="0"/>
      <w:marRight w:val="0"/>
      <w:marTop w:val="0"/>
      <w:marBottom w:val="0"/>
      <w:divBdr>
        <w:top w:val="none" w:sz="0" w:space="0" w:color="auto"/>
        <w:left w:val="none" w:sz="0" w:space="0" w:color="auto"/>
        <w:bottom w:val="none" w:sz="0" w:space="0" w:color="auto"/>
        <w:right w:val="none" w:sz="0" w:space="0" w:color="auto"/>
      </w:divBdr>
    </w:div>
    <w:div w:id="974987161">
      <w:bodyDiv w:val="1"/>
      <w:marLeft w:val="0"/>
      <w:marRight w:val="0"/>
      <w:marTop w:val="0"/>
      <w:marBottom w:val="0"/>
      <w:divBdr>
        <w:top w:val="none" w:sz="0" w:space="0" w:color="auto"/>
        <w:left w:val="none" w:sz="0" w:space="0" w:color="auto"/>
        <w:bottom w:val="none" w:sz="0" w:space="0" w:color="auto"/>
        <w:right w:val="none" w:sz="0" w:space="0" w:color="auto"/>
      </w:divBdr>
    </w:div>
    <w:div w:id="975381090">
      <w:bodyDiv w:val="1"/>
      <w:marLeft w:val="0"/>
      <w:marRight w:val="0"/>
      <w:marTop w:val="0"/>
      <w:marBottom w:val="0"/>
      <w:divBdr>
        <w:top w:val="none" w:sz="0" w:space="0" w:color="auto"/>
        <w:left w:val="none" w:sz="0" w:space="0" w:color="auto"/>
        <w:bottom w:val="none" w:sz="0" w:space="0" w:color="auto"/>
        <w:right w:val="none" w:sz="0" w:space="0" w:color="auto"/>
      </w:divBdr>
    </w:div>
    <w:div w:id="976840249">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85671420">
      <w:bodyDiv w:val="1"/>
      <w:marLeft w:val="0"/>
      <w:marRight w:val="0"/>
      <w:marTop w:val="0"/>
      <w:marBottom w:val="0"/>
      <w:divBdr>
        <w:top w:val="none" w:sz="0" w:space="0" w:color="auto"/>
        <w:left w:val="none" w:sz="0" w:space="0" w:color="auto"/>
        <w:bottom w:val="none" w:sz="0" w:space="0" w:color="auto"/>
        <w:right w:val="none" w:sz="0" w:space="0" w:color="auto"/>
      </w:divBdr>
    </w:div>
    <w:div w:id="986128943">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3653967">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0106697">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7267649">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1807248">
      <w:bodyDiv w:val="1"/>
      <w:marLeft w:val="0"/>
      <w:marRight w:val="0"/>
      <w:marTop w:val="0"/>
      <w:marBottom w:val="0"/>
      <w:divBdr>
        <w:top w:val="none" w:sz="0" w:space="0" w:color="auto"/>
        <w:left w:val="none" w:sz="0" w:space="0" w:color="auto"/>
        <w:bottom w:val="none" w:sz="0" w:space="0" w:color="auto"/>
        <w:right w:val="none" w:sz="0" w:space="0" w:color="auto"/>
      </w:divBdr>
    </w:div>
    <w:div w:id="105258053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5855815">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211671">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032146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2168909">
      <w:bodyDiv w:val="1"/>
      <w:marLeft w:val="0"/>
      <w:marRight w:val="0"/>
      <w:marTop w:val="0"/>
      <w:marBottom w:val="0"/>
      <w:divBdr>
        <w:top w:val="none" w:sz="0" w:space="0" w:color="auto"/>
        <w:left w:val="none" w:sz="0" w:space="0" w:color="auto"/>
        <w:bottom w:val="none" w:sz="0" w:space="0" w:color="auto"/>
        <w:right w:val="none" w:sz="0" w:space="0" w:color="auto"/>
      </w:divBdr>
    </w:div>
    <w:div w:id="1063062441">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5640201">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70000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56249">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503079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0198911">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0993331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2146482">
      <w:bodyDiv w:val="1"/>
      <w:marLeft w:val="0"/>
      <w:marRight w:val="0"/>
      <w:marTop w:val="0"/>
      <w:marBottom w:val="0"/>
      <w:divBdr>
        <w:top w:val="none" w:sz="0" w:space="0" w:color="auto"/>
        <w:left w:val="none" w:sz="0" w:space="0" w:color="auto"/>
        <w:bottom w:val="none" w:sz="0" w:space="0" w:color="auto"/>
        <w:right w:val="none" w:sz="0" w:space="0" w:color="auto"/>
      </w:divBdr>
    </w:div>
    <w:div w:id="1102650838">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15632103">
      <w:bodyDiv w:val="1"/>
      <w:marLeft w:val="0"/>
      <w:marRight w:val="0"/>
      <w:marTop w:val="0"/>
      <w:marBottom w:val="0"/>
      <w:divBdr>
        <w:top w:val="none" w:sz="0" w:space="0" w:color="auto"/>
        <w:left w:val="none" w:sz="0" w:space="0" w:color="auto"/>
        <w:bottom w:val="none" w:sz="0" w:space="0" w:color="auto"/>
        <w:right w:val="none" w:sz="0" w:space="0" w:color="auto"/>
      </w:divBdr>
    </w:div>
    <w:div w:id="1116555931">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2868120">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1197086">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4473146">
      <w:bodyDiv w:val="1"/>
      <w:marLeft w:val="0"/>
      <w:marRight w:val="0"/>
      <w:marTop w:val="0"/>
      <w:marBottom w:val="0"/>
      <w:divBdr>
        <w:top w:val="none" w:sz="0" w:space="0" w:color="auto"/>
        <w:left w:val="none" w:sz="0" w:space="0" w:color="auto"/>
        <w:bottom w:val="none" w:sz="0" w:space="0" w:color="auto"/>
        <w:right w:val="none" w:sz="0" w:space="0" w:color="auto"/>
      </w:divBdr>
    </w:div>
    <w:div w:id="1144737315">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5147279">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8844">
      <w:bodyDiv w:val="1"/>
      <w:marLeft w:val="0"/>
      <w:marRight w:val="0"/>
      <w:marTop w:val="0"/>
      <w:marBottom w:val="0"/>
      <w:divBdr>
        <w:top w:val="none" w:sz="0" w:space="0" w:color="auto"/>
        <w:left w:val="none" w:sz="0" w:space="0" w:color="auto"/>
        <w:bottom w:val="none" w:sz="0" w:space="0" w:color="auto"/>
        <w:right w:val="none" w:sz="0" w:space="0" w:color="auto"/>
      </w:divBdr>
    </w:div>
    <w:div w:id="119125814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261948">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8195814">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6529268">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2038767">
      <w:bodyDiv w:val="1"/>
      <w:marLeft w:val="0"/>
      <w:marRight w:val="0"/>
      <w:marTop w:val="0"/>
      <w:marBottom w:val="0"/>
      <w:divBdr>
        <w:top w:val="none" w:sz="0" w:space="0" w:color="auto"/>
        <w:left w:val="none" w:sz="0" w:space="0" w:color="auto"/>
        <w:bottom w:val="none" w:sz="0" w:space="0" w:color="auto"/>
        <w:right w:val="none" w:sz="0" w:space="0" w:color="auto"/>
      </w:divBdr>
    </w:div>
    <w:div w:id="1216044187">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29537675">
      <w:bodyDiv w:val="1"/>
      <w:marLeft w:val="0"/>
      <w:marRight w:val="0"/>
      <w:marTop w:val="0"/>
      <w:marBottom w:val="0"/>
      <w:divBdr>
        <w:top w:val="none" w:sz="0" w:space="0" w:color="auto"/>
        <w:left w:val="none" w:sz="0" w:space="0" w:color="auto"/>
        <w:bottom w:val="none" w:sz="0" w:space="0" w:color="auto"/>
        <w:right w:val="none" w:sz="0" w:space="0" w:color="auto"/>
      </w:divBdr>
    </w:div>
    <w:div w:id="123131201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0209992">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3584505">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4708950">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6591705">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59368288">
      <w:bodyDiv w:val="1"/>
      <w:marLeft w:val="0"/>
      <w:marRight w:val="0"/>
      <w:marTop w:val="0"/>
      <w:marBottom w:val="0"/>
      <w:divBdr>
        <w:top w:val="none" w:sz="0" w:space="0" w:color="auto"/>
        <w:left w:val="none" w:sz="0" w:space="0" w:color="auto"/>
        <w:bottom w:val="none" w:sz="0" w:space="0" w:color="auto"/>
        <w:right w:val="none" w:sz="0" w:space="0" w:color="auto"/>
      </w:divBdr>
    </w:div>
    <w:div w:id="1263606565">
      <w:bodyDiv w:val="1"/>
      <w:marLeft w:val="0"/>
      <w:marRight w:val="0"/>
      <w:marTop w:val="0"/>
      <w:marBottom w:val="0"/>
      <w:divBdr>
        <w:top w:val="none" w:sz="0" w:space="0" w:color="auto"/>
        <w:left w:val="none" w:sz="0" w:space="0" w:color="auto"/>
        <w:bottom w:val="none" w:sz="0" w:space="0" w:color="auto"/>
        <w:right w:val="none" w:sz="0" w:space="0" w:color="auto"/>
      </w:divBdr>
    </w:div>
    <w:div w:id="126419116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68197710">
      <w:bodyDiv w:val="1"/>
      <w:marLeft w:val="0"/>
      <w:marRight w:val="0"/>
      <w:marTop w:val="0"/>
      <w:marBottom w:val="0"/>
      <w:divBdr>
        <w:top w:val="none" w:sz="0" w:space="0" w:color="auto"/>
        <w:left w:val="none" w:sz="0" w:space="0" w:color="auto"/>
        <w:bottom w:val="none" w:sz="0" w:space="0" w:color="auto"/>
        <w:right w:val="none" w:sz="0" w:space="0" w:color="auto"/>
      </w:divBdr>
    </w:div>
    <w:div w:id="1268349429">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105577">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2685273">
      <w:bodyDiv w:val="1"/>
      <w:marLeft w:val="0"/>
      <w:marRight w:val="0"/>
      <w:marTop w:val="0"/>
      <w:marBottom w:val="0"/>
      <w:divBdr>
        <w:top w:val="none" w:sz="0" w:space="0" w:color="auto"/>
        <w:left w:val="none" w:sz="0" w:space="0" w:color="auto"/>
        <w:bottom w:val="none" w:sz="0" w:space="0" w:color="auto"/>
        <w:right w:val="none" w:sz="0" w:space="0" w:color="auto"/>
      </w:divBdr>
    </w:div>
    <w:div w:id="128630477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89513865">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3080374">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815116">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2853689">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307003">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44548558">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202692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19981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1277650">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5406343">
      <w:bodyDiv w:val="1"/>
      <w:marLeft w:val="0"/>
      <w:marRight w:val="0"/>
      <w:marTop w:val="0"/>
      <w:marBottom w:val="0"/>
      <w:divBdr>
        <w:top w:val="none" w:sz="0" w:space="0" w:color="auto"/>
        <w:left w:val="none" w:sz="0" w:space="0" w:color="auto"/>
        <w:bottom w:val="none" w:sz="0" w:space="0" w:color="auto"/>
        <w:right w:val="none" w:sz="0" w:space="0" w:color="auto"/>
      </w:divBdr>
    </w:div>
    <w:div w:id="1367830263">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4189587">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7731588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1152322">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1178189">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296993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17288796">
      <w:bodyDiv w:val="1"/>
      <w:marLeft w:val="0"/>
      <w:marRight w:val="0"/>
      <w:marTop w:val="0"/>
      <w:marBottom w:val="0"/>
      <w:divBdr>
        <w:top w:val="none" w:sz="0" w:space="0" w:color="auto"/>
        <w:left w:val="none" w:sz="0" w:space="0" w:color="auto"/>
        <w:bottom w:val="none" w:sz="0" w:space="0" w:color="auto"/>
        <w:right w:val="none" w:sz="0" w:space="0" w:color="auto"/>
      </w:divBdr>
    </w:div>
    <w:div w:id="1419404885">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38066374">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145245">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171336">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425700">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889042">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69517557">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79571899">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435022">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87818977">
      <w:bodyDiv w:val="1"/>
      <w:marLeft w:val="0"/>
      <w:marRight w:val="0"/>
      <w:marTop w:val="0"/>
      <w:marBottom w:val="0"/>
      <w:divBdr>
        <w:top w:val="none" w:sz="0" w:space="0" w:color="auto"/>
        <w:left w:val="none" w:sz="0" w:space="0" w:color="auto"/>
        <w:bottom w:val="none" w:sz="0" w:space="0" w:color="auto"/>
        <w:right w:val="none" w:sz="0" w:space="0" w:color="auto"/>
      </w:divBdr>
    </w:div>
    <w:div w:id="1490362185">
      <w:bodyDiv w:val="1"/>
      <w:marLeft w:val="0"/>
      <w:marRight w:val="0"/>
      <w:marTop w:val="0"/>
      <w:marBottom w:val="0"/>
      <w:divBdr>
        <w:top w:val="none" w:sz="0" w:space="0" w:color="auto"/>
        <w:left w:val="none" w:sz="0" w:space="0" w:color="auto"/>
        <w:bottom w:val="none" w:sz="0" w:space="0" w:color="auto"/>
        <w:right w:val="none" w:sz="0" w:space="0" w:color="auto"/>
      </w:divBdr>
    </w:div>
    <w:div w:id="1492065210">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498686603">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2894401">
      <w:bodyDiv w:val="1"/>
      <w:marLeft w:val="0"/>
      <w:marRight w:val="0"/>
      <w:marTop w:val="0"/>
      <w:marBottom w:val="0"/>
      <w:divBdr>
        <w:top w:val="none" w:sz="0" w:space="0" w:color="auto"/>
        <w:left w:val="none" w:sz="0" w:space="0" w:color="auto"/>
        <w:bottom w:val="none" w:sz="0" w:space="0" w:color="auto"/>
        <w:right w:val="none" w:sz="0" w:space="0" w:color="auto"/>
      </w:divBdr>
    </w:div>
    <w:div w:id="1505782216">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6633606">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5874750">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2085417">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28174457">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1260689">
      <w:bodyDiv w:val="1"/>
      <w:marLeft w:val="0"/>
      <w:marRight w:val="0"/>
      <w:marTop w:val="0"/>
      <w:marBottom w:val="0"/>
      <w:divBdr>
        <w:top w:val="none" w:sz="0" w:space="0" w:color="auto"/>
        <w:left w:val="none" w:sz="0" w:space="0" w:color="auto"/>
        <w:bottom w:val="none" w:sz="0" w:space="0" w:color="auto"/>
        <w:right w:val="none" w:sz="0" w:space="0" w:color="auto"/>
      </w:divBdr>
    </w:div>
    <w:div w:id="153244988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3176757">
      <w:bodyDiv w:val="1"/>
      <w:marLeft w:val="0"/>
      <w:marRight w:val="0"/>
      <w:marTop w:val="0"/>
      <w:marBottom w:val="0"/>
      <w:divBdr>
        <w:top w:val="none" w:sz="0" w:space="0" w:color="auto"/>
        <w:left w:val="none" w:sz="0" w:space="0" w:color="auto"/>
        <w:bottom w:val="none" w:sz="0" w:space="0" w:color="auto"/>
        <w:right w:val="none" w:sz="0" w:space="0" w:color="auto"/>
      </w:divBdr>
    </w:div>
    <w:div w:id="1543204170">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46411573">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295825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68956354">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350826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11737708">
      <w:bodyDiv w:val="1"/>
      <w:marLeft w:val="0"/>
      <w:marRight w:val="0"/>
      <w:marTop w:val="0"/>
      <w:marBottom w:val="0"/>
      <w:divBdr>
        <w:top w:val="none" w:sz="0" w:space="0" w:color="auto"/>
        <w:left w:val="none" w:sz="0" w:space="0" w:color="auto"/>
        <w:bottom w:val="none" w:sz="0" w:space="0" w:color="auto"/>
        <w:right w:val="none" w:sz="0" w:space="0" w:color="auto"/>
      </w:divBdr>
    </w:div>
    <w:div w:id="1619290262">
      <w:bodyDiv w:val="1"/>
      <w:marLeft w:val="0"/>
      <w:marRight w:val="0"/>
      <w:marTop w:val="0"/>
      <w:marBottom w:val="0"/>
      <w:divBdr>
        <w:top w:val="none" w:sz="0" w:space="0" w:color="auto"/>
        <w:left w:val="none" w:sz="0" w:space="0" w:color="auto"/>
        <w:bottom w:val="none" w:sz="0" w:space="0" w:color="auto"/>
        <w:right w:val="none" w:sz="0" w:space="0" w:color="auto"/>
      </w:divBdr>
    </w:div>
    <w:div w:id="1622107571">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2592556">
      <w:bodyDiv w:val="1"/>
      <w:marLeft w:val="0"/>
      <w:marRight w:val="0"/>
      <w:marTop w:val="0"/>
      <w:marBottom w:val="0"/>
      <w:divBdr>
        <w:top w:val="none" w:sz="0" w:space="0" w:color="auto"/>
        <w:left w:val="none" w:sz="0" w:space="0" w:color="auto"/>
        <w:bottom w:val="none" w:sz="0" w:space="0" w:color="auto"/>
        <w:right w:val="none" w:sz="0" w:space="0" w:color="auto"/>
      </w:divBdr>
    </w:div>
    <w:div w:id="1633172587">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7875356">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1253406">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4554640">
      <w:bodyDiv w:val="1"/>
      <w:marLeft w:val="0"/>
      <w:marRight w:val="0"/>
      <w:marTop w:val="0"/>
      <w:marBottom w:val="0"/>
      <w:divBdr>
        <w:top w:val="none" w:sz="0" w:space="0" w:color="auto"/>
        <w:left w:val="none" w:sz="0" w:space="0" w:color="auto"/>
        <w:bottom w:val="none" w:sz="0" w:space="0" w:color="auto"/>
        <w:right w:val="none" w:sz="0" w:space="0" w:color="auto"/>
      </w:divBdr>
    </w:div>
    <w:div w:id="1686832047">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7387854">
      <w:bodyDiv w:val="1"/>
      <w:marLeft w:val="0"/>
      <w:marRight w:val="0"/>
      <w:marTop w:val="0"/>
      <w:marBottom w:val="0"/>
      <w:divBdr>
        <w:top w:val="none" w:sz="0" w:space="0" w:color="auto"/>
        <w:left w:val="none" w:sz="0" w:space="0" w:color="auto"/>
        <w:bottom w:val="none" w:sz="0" w:space="0" w:color="auto"/>
        <w:right w:val="none" w:sz="0" w:space="0" w:color="auto"/>
      </w:divBdr>
    </w:div>
    <w:div w:id="1697541808">
      <w:bodyDiv w:val="1"/>
      <w:marLeft w:val="0"/>
      <w:marRight w:val="0"/>
      <w:marTop w:val="0"/>
      <w:marBottom w:val="0"/>
      <w:divBdr>
        <w:top w:val="none" w:sz="0" w:space="0" w:color="auto"/>
        <w:left w:val="none" w:sz="0" w:space="0" w:color="auto"/>
        <w:bottom w:val="none" w:sz="0" w:space="0" w:color="auto"/>
        <w:right w:val="none" w:sz="0" w:space="0" w:color="auto"/>
      </w:divBdr>
    </w:div>
    <w:div w:id="1697806677">
      <w:bodyDiv w:val="1"/>
      <w:marLeft w:val="0"/>
      <w:marRight w:val="0"/>
      <w:marTop w:val="0"/>
      <w:marBottom w:val="0"/>
      <w:divBdr>
        <w:top w:val="none" w:sz="0" w:space="0" w:color="auto"/>
        <w:left w:val="none" w:sz="0" w:space="0" w:color="auto"/>
        <w:bottom w:val="none" w:sz="0" w:space="0" w:color="auto"/>
        <w:right w:val="none" w:sz="0" w:space="0" w:color="auto"/>
      </w:divBdr>
    </w:div>
    <w:div w:id="1698116338">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0468383">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3675292">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27027328">
      <w:bodyDiv w:val="1"/>
      <w:marLeft w:val="0"/>
      <w:marRight w:val="0"/>
      <w:marTop w:val="0"/>
      <w:marBottom w:val="0"/>
      <w:divBdr>
        <w:top w:val="none" w:sz="0" w:space="0" w:color="auto"/>
        <w:left w:val="none" w:sz="0" w:space="0" w:color="auto"/>
        <w:bottom w:val="none" w:sz="0" w:space="0" w:color="auto"/>
        <w:right w:val="none" w:sz="0" w:space="0" w:color="auto"/>
      </w:divBdr>
    </w:div>
    <w:div w:id="1727877294">
      <w:bodyDiv w:val="1"/>
      <w:marLeft w:val="0"/>
      <w:marRight w:val="0"/>
      <w:marTop w:val="0"/>
      <w:marBottom w:val="0"/>
      <w:divBdr>
        <w:top w:val="none" w:sz="0" w:space="0" w:color="auto"/>
        <w:left w:val="none" w:sz="0" w:space="0" w:color="auto"/>
        <w:bottom w:val="none" w:sz="0" w:space="0" w:color="auto"/>
        <w:right w:val="none" w:sz="0" w:space="0" w:color="auto"/>
      </w:divBdr>
    </w:div>
    <w:div w:id="1728409933">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45762752">
      <w:bodyDiv w:val="1"/>
      <w:marLeft w:val="0"/>
      <w:marRight w:val="0"/>
      <w:marTop w:val="0"/>
      <w:marBottom w:val="0"/>
      <w:divBdr>
        <w:top w:val="none" w:sz="0" w:space="0" w:color="auto"/>
        <w:left w:val="none" w:sz="0" w:space="0" w:color="auto"/>
        <w:bottom w:val="none" w:sz="0" w:space="0" w:color="auto"/>
        <w:right w:val="none" w:sz="0" w:space="0" w:color="auto"/>
      </w:divBdr>
    </w:div>
    <w:div w:id="1750881421">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0098221">
      <w:bodyDiv w:val="1"/>
      <w:marLeft w:val="0"/>
      <w:marRight w:val="0"/>
      <w:marTop w:val="0"/>
      <w:marBottom w:val="0"/>
      <w:divBdr>
        <w:top w:val="none" w:sz="0" w:space="0" w:color="auto"/>
        <w:left w:val="none" w:sz="0" w:space="0" w:color="auto"/>
        <w:bottom w:val="none" w:sz="0" w:space="0" w:color="auto"/>
        <w:right w:val="none" w:sz="0" w:space="0" w:color="auto"/>
      </w:divBdr>
    </w:div>
    <w:div w:id="1785801840">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79991265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222583">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419902">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006576">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5196956">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35100323">
      <w:bodyDiv w:val="1"/>
      <w:marLeft w:val="0"/>
      <w:marRight w:val="0"/>
      <w:marTop w:val="0"/>
      <w:marBottom w:val="0"/>
      <w:divBdr>
        <w:top w:val="none" w:sz="0" w:space="0" w:color="auto"/>
        <w:left w:val="none" w:sz="0" w:space="0" w:color="auto"/>
        <w:bottom w:val="none" w:sz="0" w:space="0" w:color="auto"/>
        <w:right w:val="none" w:sz="0" w:space="0" w:color="auto"/>
      </w:divBdr>
    </w:div>
    <w:div w:id="1837111986">
      <w:bodyDiv w:val="1"/>
      <w:marLeft w:val="0"/>
      <w:marRight w:val="0"/>
      <w:marTop w:val="0"/>
      <w:marBottom w:val="0"/>
      <w:divBdr>
        <w:top w:val="none" w:sz="0" w:space="0" w:color="auto"/>
        <w:left w:val="none" w:sz="0" w:space="0" w:color="auto"/>
        <w:bottom w:val="none" w:sz="0" w:space="0" w:color="auto"/>
        <w:right w:val="none" w:sz="0" w:space="0" w:color="auto"/>
      </w:divBdr>
    </w:div>
    <w:div w:id="1840806057">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6454769">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3036612">
      <w:bodyDiv w:val="1"/>
      <w:marLeft w:val="0"/>
      <w:marRight w:val="0"/>
      <w:marTop w:val="0"/>
      <w:marBottom w:val="0"/>
      <w:divBdr>
        <w:top w:val="none" w:sz="0" w:space="0" w:color="auto"/>
        <w:left w:val="none" w:sz="0" w:space="0" w:color="auto"/>
        <w:bottom w:val="none" w:sz="0" w:space="0" w:color="auto"/>
        <w:right w:val="none" w:sz="0" w:space="0" w:color="auto"/>
      </w:divBdr>
    </w:div>
    <w:div w:id="187638306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79972224">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031608">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225235">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3299435">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323158">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062420">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09878634">
      <w:bodyDiv w:val="1"/>
      <w:marLeft w:val="0"/>
      <w:marRight w:val="0"/>
      <w:marTop w:val="0"/>
      <w:marBottom w:val="0"/>
      <w:divBdr>
        <w:top w:val="none" w:sz="0" w:space="0" w:color="auto"/>
        <w:left w:val="none" w:sz="0" w:space="0" w:color="auto"/>
        <w:bottom w:val="none" w:sz="0" w:space="0" w:color="auto"/>
        <w:right w:val="none" w:sz="0" w:space="0" w:color="auto"/>
      </w:divBdr>
    </w:div>
    <w:div w:id="1910529096">
      <w:bodyDiv w:val="1"/>
      <w:marLeft w:val="0"/>
      <w:marRight w:val="0"/>
      <w:marTop w:val="0"/>
      <w:marBottom w:val="0"/>
      <w:divBdr>
        <w:top w:val="none" w:sz="0" w:space="0" w:color="auto"/>
        <w:left w:val="none" w:sz="0" w:space="0" w:color="auto"/>
        <w:bottom w:val="none" w:sz="0" w:space="0" w:color="auto"/>
        <w:right w:val="none" w:sz="0" w:space="0" w:color="auto"/>
      </w:divBdr>
    </w:div>
    <w:div w:id="1914468265">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27760137">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1423197">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5599460">
      <w:bodyDiv w:val="1"/>
      <w:marLeft w:val="0"/>
      <w:marRight w:val="0"/>
      <w:marTop w:val="0"/>
      <w:marBottom w:val="0"/>
      <w:divBdr>
        <w:top w:val="none" w:sz="0" w:space="0" w:color="auto"/>
        <w:left w:val="none" w:sz="0" w:space="0" w:color="auto"/>
        <w:bottom w:val="none" w:sz="0" w:space="0" w:color="auto"/>
        <w:right w:val="none" w:sz="0" w:space="0" w:color="auto"/>
      </w:divBdr>
    </w:div>
    <w:div w:id="1956015394">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894645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6539032">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0695956">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6526963">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78994770">
      <w:bodyDiv w:val="1"/>
      <w:marLeft w:val="0"/>
      <w:marRight w:val="0"/>
      <w:marTop w:val="0"/>
      <w:marBottom w:val="0"/>
      <w:divBdr>
        <w:top w:val="none" w:sz="0" w:space="0" w:color="auto"/>
        <w:left w:val="none" w:sz="0" w:space="0" w:color="auto"/>
        <w:bottom w:val="none" w:sz="0" w:space="0" w:color="auto"/>
        <w:right w:val="none" w:sz="0" w:space="0" w:color="auto"/>
      </w:divBdr>
    </w:div>
    <w:div w:id="198118475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85810592">
      <w:bodyDiv w:val="1"/>
      <w:marLeft w:val="0"/>
      <w:marRight w:val="0"/>
      <w:marTop w:val="0"/>
      <w:marBottom w:val="0"/>
      <w:divBdr>
        <w:top w:val="none" w:sz="0" w:space="0" w:color="auto"/>
        <w:left w:val="none" w:sz="0" w:space="0" w:color="auto"/>
        <w:bottom w:val="none" w:sz="0" w:space="0" w:color="auto"/>
        <w:right w:val="none" w:sz="0" w:space="0" w:color="auto"/>
      </w:divBdr>
    </w:div>
    <w:div w:id="1986544393">
      <w:bodyDiv w:val="1"/>
      <w:marLeft w:val="0"/>
      <w:marRight w:val="0"/>
      <w:marTop w:val="0"/>
      <w:marBottom w:val="0"/>
      <w:divBdr>
        <w:top w:val="none" w:sz="0" w:space="0" w:color="auto"/>
        <w:left w:val="none" w:sz="0" w:space="0" w:color="auto"/>
        <w:bottom w:val="none" w:sz="0" w:space="0" w:color="auto"/>
        <w:right w:val="none" w:sz="0" w:space="0" w:color="auto"/>
      </w:divBdr>
    </w:div>
    <w:div w:id="1988627325">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0242">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15916396">
      <w:bodyDiv w:val="1"/>
      <w:marLeft w:val="0"/>
      <w:marRight w:val="0"/>
      <w:marTop w:val="0"/>
      <w:marBottom w:val="0"/>
      <w:divBdr>
        <w:top w:val="none" w:sz="0" w:space="0" w:color="auto"/>
        <w:left w:val="none" w:sz="0" w:space="0" w:color="auto"/>
        <w:bottom w:val="none" w:sz="0" w:space="0" w:color="auto"/>
        <w:right w:val="none" w:sz="0" w:space="0" w:color="auto"/>
      </w:divBdr>
    </w:div>
    <w:div w:id="2023237435">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221650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4597560">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7901291">
      <w:bodyDiv w:val="1"/>
      <w:marLeft w:val="0"/>
      <w:marRight w:val="0"/>
      <w:marTop w:val="0"/>
      <w:marBottom w:val="0"/>
      <w:divBdr>
        <w:top w:val="none" w:sz="0" w:space="0" w:color="auto"/>
        <w:left w:val="none" w:sz="0" w:space="0" w:color="auto"/>
        <w:bottom w:val="none" w:sz="0" w:space="0" w:color="auto"/>
        <w:right w:val="none" w:sz="0" w:space="0" w:color="auto"/>
      </w:divBdr>
    </w:div>
    <w:div w:id="2048068629">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4692823">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1590681">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1885381">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8628541">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1563873">
      <w:bodyDiv w:val="1"/>
      <w:marLeft w:val="0"/>
      <w:marRight w:val="0"/>
      <w:marTop w:val="0"/>
      <w:marBottom w:val="0"/>
      <w:divBdr>
        <w:top w:val="none" w:sz="0" w:space="0" w:color="auto"/>
        <w:left w:val="none" w:sz="0" w:space="0" w:color="auto"/>
        <w:bottom w:val="none" w:sz="0" w:space="0" w:color="auto"/>
        <w:right w:val="none" w:sz="0" w:space="0" w:color="auto"/>
      </w:divBdr>
    </w:div>
    <w:div w:id="2083746386">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864420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89837726">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6196110">
      <w:bodyDiv w:val="1"/>
      <w:marLeft w:val="0"/>
      <w:marRight w:val="0"/>
      <w:marTop w:val="0"/>
      <w:marBottom w:val="0"/>
      <w:divBdr>
        <w:top w:val="none" w:sz="0" w:space="0" w:color="auto"/>
        <w:left w:val="none" w:sz="0" w:space="0" w:color="auto"/>
        <w:bottom w:val="none" w:sz="0" w:space="0" w:color="auto"/>
        <w:right w:val="none" w:sz="0" w:space="0" w:color="auto"/>
      </w:divBdr>
    </w:div>
    <w:div w:id="2097702023">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099791173">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757934">
      <w:bodyDiv w:val="1"/>
      <w:marLeft w:val="0"/>
      <w:marRight w:val="0"/>
      <w:marTop w:val="0"/>
      <w:marBottom w:val="0"/>
      <w:divBdr>
        <w:top w:val="none" w:sz="0" w:space="0" w:color="auto"/>
        <w:left w:val="none" w:sz="0" w:space="0" w:color="auto"/>
        <w:bottom w:val="none" w:sz="0" w:space="0" w:color="auto"/>
        <w:right w:val="none" w:sz="0" w:space="0" w:color="auto"/>
      </w:divBdr>
    </w:div>
    <w:div w:id="2107192116">
      <w:bodyDiv w:val="1"/>
      <w:marLeft w:val="0"/>
      <w:marRight w:val="0"/>
      <w:marTop w:val="0"/>
      <w:marBottom w:val="0"/>
      <w:divBdr>
        <w:top w:val="none" w:sz="0" w:space="0" w:color="auto"/>
        <w:left w:val="none" w:sz="0" w:space="0" w:color="auto"/>
        <w:bottom w:val="none" w:sz="0" w:space="0" w:color="auto"/>
        <w:right w:val="none" w:sz="0" w:space="0" w:color="auto"/>
      </w:divBdr>
    </w:div>
    <w:div w:id="2107342434">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1660798">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19906844">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26340718">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33016858">
      <w:bodyDiv w:val="1"/>
      <w:marLeft w:val="0"/>
      <w:marRight w:val="0"/>
      <w:marTop w:val="0"/>
      <w:marBottom w:val="0"/>
      <w:divBdr>
        <w:top w:val="none" w:sz="0" w:space="0" w:color="auto"/>
        <w:left w:val="none" w:sz="0" w:space="0" w:color="auto"/>
        <w:bottom w:val="none" w:sz="0" w:space="0" w:color="auto"/>
        <w:right w:val="none" w:sz="0" w:space="0" w:color="auto"/>
      </w:divBdr>
    </w:div>
    <w:div w:id="2139643501">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c.gov/newsroom/meetings-events/crypto-task-force-roundtable-financial-surveillance-privacy" TargetMode="External"/><Relationship Id="rId18" Type="http://schemas.openxmlformats.org/officeDocument/2006/relationships/hyperlink" Target="https://apps.sfc.hk/edistributionWeb/gateway/EN/news-and-announcements/news/doc?refNo=25PR140" TargetMode="External"/><Relationship Id="rId26" Type="http://schemas.openxmlformats.org/officeDocument/2006/relationships/hyperlink" Target="https://www.sec.gov/newsroom/meetings-events/sec-cftc-joint-roundtable-sept-29-2025" TargetMode="External"/><Relationship Id="rId39" Type="http://schemas.openxmlformats.org/officeDocument/2006/relationships/hyperlink" Target="https://www.cftc.gov/PressRoom/PressReleases/9113-25" TargetMode="External"/><Relationship Id="rId21" Type="http://schemas.openxmlformats.org/officeDocument/2006/relationships/hyperlink" Target="https://apps.sfc.hk/edistributionWeb/gateway/EN/news-and-announcements/news/doc?refNo=25PR140" TargetMode="External"/><Relationship Id="rId34" Type="http://schemas.openxmlformats.org/officeDocument/2006/relationships/hyperlink" Target="https://apps.sfc.hk/edistributionWeb/gateway/EN/news-and-announcements/news/openAppendix?refNo=25PR138&amp;appendix=0" TargetMode="External"/><Relationship Id="rId42" Type="http://schemas.openxmlformats.org/officeDocument/2006/relationships/hyperlink" Target="https://www.cftc.gov/PressRoom/SpeechesTestimony/cftcsecjointcryptostatement090225"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db.org/adbi/news/adbi-adb-asian-climate-finance-dialogue" TargetMode="External"/><Relationship Id="rId29" Type="http://schemas.openxmlformats.org/officeDocument/2006/relationships/hyperlink" Target="https://www.asic.gov.au/about-asic/news-centre/find-a-media-release/2025-releases/25-194mr-high-court-grants-asic-special-leave-to-appeal-block-earner-decision/" TargetMode="External"/><Relationship Id="rId11" Type="http://schemas.openxmlformats.org/officeDocument/2006/relationships/hyperlink" Target="https://www.whitehouse.gov/presidential-actions/2025/01/strengthening-american-leadership-in-digital-financial-technology/" TargetMode="External"/><Relationship Id="rId24" Type="http://schemas.openxmlformats.org/officeDocument/2006/relationships/hyperlink" Target="https://www.sec.gov/newsroom/speeches-statements/joint-statement-atkins-pham-090525" TargetMode="External"/><Relationship Id="rId32" Type="http://schemas.openxmlformats.org/officeDocument/2006/relationships/hyperlink" Target="https://www.asic.gov.au/about-asic/news-centre/news-items/australian-securities-and-investment-commission-signs-mou-with-the-international-financial-services-centres-authority/" TargetMode="External"/><Relationship Id="rId37" Type="http://schemas.openxmlformats.org/officeDocument/2006/relationships/hyperlink" Target="https://www.sec.gov/files/litigation/admin/2025/34-103840.pdf" TargetMode="External"/><Relationship Id="rId40" Type="http://schemas.openxmlformats.org/officeDocument/2006/relationships/hyperlink" Target="https://www.sec.gov/newsroom/speeches-statements/sec-cftc-project-crypto-090225" TargetMode="External"/><Relationship Id="rId45" Type="http://schemas.openxmlformats.org/officeDocument/2006/relationships/hyperlink" Target="mailto:unsubscribe@charltonslaw.com?subject=unsubscribe%20-Hong%20Kong%20Law-"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sec.gov/about/crypto-task-force/crypto-task-force-roundtables" TargetMode="External"/><Relationship Id="rId19" Type="http://schemas.openxmlformats.org/officeDocument/2006/relationships/hyperlink" Target="https://www.elegislation.gov.hk/hk/cap571?p0=1&amp;p1=1" TargetMode="External"/><Relationship Id="rId31" Type="http://schemas.openxmlformats.org/officeDocument/2006/relationships/hyperlink" Target="https://www.asic.gov.au/about-asic/news-centre/news-items/australian-securities-and-investment-commission-signs-mou-with-the-international-financial-services-centres-authority/" TargetMode="External"/><Relationship Id="rId44" Type="http://schemas.openxmlformats.org/officeDocument/2006/relationships/hyperlink" Target="https://www.cftc.gov/PressRoom/PressReleases/9111-2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ec.gov/newsroom/meetings-events/crypto-task-force-roundtable-financial-surveillance-privacy" TargetMode="External"/><Relationship Id="rId14" Type="http://schemas.openxmlformats.org/officeDocument/2006/relationships/hyperlink" Target="https://www.sec.gov/newsroom/press-releases/2025-114-sec-crypto-task-force-host-roundtable-financial-surveillance-privacy" TargetMode="External"/><Relationship Id="rId22" Type="http://schemas.openxmlformats.org/officeDocument/2006/relationships/hyperlink" Target="https://www.sec.gov/newsroom/press-releases/2025-113-sec-announces-formation-cross-border-task-force-combat-fraud" TargetMode="External"/><Relationship Id="rId27" Type="http://schemas.openxmlformats.org/officeDocument/2006/relationships/hyperlink" Target="https://surveys.sec.gov/jfe/form/SV_do4AXToOMBgtKCy" TargetMode="External"/><Relationship Id="rId30" Type="http://schemas.openxmlformats.org/officeDocument/2006/relationships/hyperlink" Target="https://www.asic.gov.au/about-asic/news-centre/find-a-media-release/2025-releases/25-194mr-high-court-grants-asic-special-leave-to-appeal-block-earner-decision/" TargetMode="External"/><Relationship Id="rId35" Type="http://schemas.openxmlformats.org/officeDocument/2006/relationships/hyperlink" Target="https://apps.sfc.hk/edistributionWeb/gateway/EN/news-and-announcements/news/doc?refNo=25PR138" TargetMode="External"/><Relationship Id="rId43" Type="http://schemas.openxmlformats.org/officeDocument/2006/relationships/hyperlink" Target="https://www.cftc.gov/PressRoom/PressReleases/9111-25" TargetMode="External"/><Relationship Id="rId48" Type="http://schemas.openxmlformats.org/officeDocument/2006/relationships/footer" Target="footer1.xml"/><Relationship Id="rId8" Type="http://schemas.openxmlformats.org/officeDocument/2006/relationships/hyperlink" Target="https://www.sec.gov/newsroom/meetings-events/crypto-task-force-roundtable-financial-surveillance-privacy"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whitehouse.gov/crypto/" TargetMode="External"/><Relationship Id="rId17" Type="http://schemas.openxmlformats.org/officeDocument/2006/relationships/hyperlink" Target="https://apps.sfc.hk/edistributionWeb/gateway/EN/news-and-announcements/news/doc?refNo=25PR141" TargetMode="External"/><Relationship Id="rId25" Type="http://schemas.openxmlformats.org/officeDocument/2006/relationships/hyperlink" Target="https://www.sec.gov/newsroom/speeches-statements/sec-cftc-project-crypto-090225" TargetMode="External"/><Relationship Id="rId33" Type="http://schemas.openxmlformats.org/officeDocument/2006/relationships/hyperlink" Target="https://apps.sfc.hk/edistributionWeb/gateway/EN/news-and-announcements/news/doc?refNo=25PR138" TargetMode="External"/><Relationship Id="rId38" Type="http://schemas.openxmlformats.org/officeDocument/2006/relationships/hyperlink" Target="https://www.cftc.gov/csl/25-28/download" TargetMode="External"/><Relationship Id="rId46" Type="http://schemas.openxmlformats.org/officeDocument/2006/relationships/header" Target="header1.xml"/><Relationship Id="rId20" Type="http://schemas.openxmlformats.org/officeDocument/2006/relationships/hyperlink" Target="https://apps.sfc.hk/edistributionWeb/gateway/EN/news-and-announcements/news/openAppendix?refNo=25PR140&amp;appendix=0" TargetMode="External"/><Relationship Id="rId41" Type="http://schemas.openxmlformats.org/officeDocument/2006/relationships/hyperlink" Target="https://www.sec.gov/newsroom/speeches-statements/sec-cftc-project-crypto-0902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pps.sfc.hk/edistributionWeb/gateway/EN/news-and-announcements/news/doc?refNo=25PR141" TargetMode="External"/><Relationship Id="rId23" Type="http://schemas.openxmlformats.org/officeDocument/2006/relationships/hyperlink" Target="https://www.sec.gov/newsroom/press-releases/2025-113-sec-announces-formation-cross-border-task-force-combat-fraud" TargetMode="External"/><Relationship Id="rId28" Type="http://schemas.openxmlformats.org/officeDocument/2006/relationships/hyperlink" Target="https://www.sec.gov/newsroom/press-releases/2025-112-sec-cftc-issue-joint-statement-regulatory-harmonization-efforts-will-co-host-roundtable-sept-29" TargetMode="External"/><Relationship Id="rId36" Type="http://schemas.openxmlformats.org/officeDocument/2006/relationships/hyperlink" Target="https://www.sec.gov/files/litigation/admin/2025/34-103840.pdf"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19957</TotalTime>
  <Pages>15</Pages>
  <Words>7504</Words>
  <Characters>42774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865</cp:revision>
  <dcterms:created xsi:type="dcterms:W3CDTF">2024-12-09T10:39:00Z</dcterms:created>
  <dcterms:modified xsi:type="dcterms:W3CDTF">2025-09-15T03:30:00Z</dcterms:modified>
</cp:coreProperties>
</file>